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00"/>
        <w:rPr>
          <w:sz w:val="24"/>
          <w:szCs w:val="24"/>
        </w:rPr>
      </w:pPr>
    </w:p>
    <w:p>
      <w:pPr>
        <w:tabs>
          <w:tab w:val="left" w:pos="3892"/>
          <w:tab w:val="left" w:pos="7636"/>
        </w:tabs>
        <w:spacing w:before="52" w:after="0" w:line="207" w:lineRule="exact"/>
        <w:ind w:left="700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CHAP. </w:t>
      </w:r>
      <w:r>
        <w:rPr>
          <w:rFonts w:ascii="Times New Roman" w:hAnsi="Times New Roman" w:cs="Times New Roman"/>
          <w:color w:val="000000"/>
          <w:spacing w:val="0"/>
          <w:w w:val="106"/>
          <w:sz w:val="12"/>
          <w:szCs w:val="12"/>
        </w:rPr>
        <w:t xml:space="preserve">23]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8"/>
          <w:szCs w:val="18"/>
        </w:rPr>
        <w:t xml:space="preserve">THE HIGH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325</w:t>
      </w:r>
    </w:p>
    <w:p>
      <w:pPr>
        <w:spacing w:before="0" w:after="0" w:line="210" w:lineRule="exact"/>
        <w:ind w:left="695"/>
        <w:rPr>
          <w:sz w:val="24"/>
          <w:szCs w:val="24"/>
        </w:rPr>
      </w:pPr>
    </w:p>
    <w:p>
      <w:pPr>
        <w:spacing w:before="50" w:after="0" w:line="210" w:lineRule="exact"/>
        <w:ind w:left="695" w:right="1723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(b) The high court is consulted, along with the State Public Service Commission,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by the Governor in appointing persons (other than District Judges) to the judicial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service of the State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234].</w:t>
      </w:r>
    </w:p>
    <w:p>
      <w:pPr>
        <w:spacing w:before="75" w:after="0" w:line="205" w:lineRule="exact"/>
        <w:ind w:left="695" w:right="1709" w:firstLine="38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(c) The control over district courts and courts subordinate thereto, including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the posting and promotion of, and the grant of leave to, transfers of, disciplinary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control over including inquiries, suspension and punishment, and compulsory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retirement of, persons belonging to the judicial service and holding any post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inferior to the post of a district judge is vested in high court </w:t>
      </w:r>
      <w:r>
        <w:rPr>
          <w:rFonts w:ascii="Times New Roman" w:hAnsi="Times New Roman" w:cs="Times New Roman"/>
          <w:i/>
          <w:color w:val="000000"/>
          <w:spacing w:val="0"/>
          <w:w w:val="128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235].</w:t>
      </w:r>
    </w:p>
    <w:p>
      <w:pPr>
        <w:spacing w:before="75" w:after="0" w:line="206" w:lineRule="exact"/>
        <w:ind w:left="695" w:right="1718" w:firstLine="384"/>
        <w:jc w:val="both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(d) Every high court has power of superintendence over all courts and tribunals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throughout the territories in relation to which it exercises jurisdiction except over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a court or tribunal constituted by or under any law relating to the Armed Forces. </w:t>
      </w: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[Article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227].</w:t>
      </w:r>
    </w:p>
    <w:p>
      <w:pPr>
        <w:spacing w:before="79" w:after="0" w:line="200" w:lineRule="exact"/>
        <w:ind w:left="691" w:right="1712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Control over the subordinate courts is the collective and individual responsibility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of the high court."</w:t>
      </w:r>
    </w:p>
    <w:p>
      <w:pPr>
        <w:spacing w:before="64" w:after="0" w:line="220" w:lineRule="exact"/>
        <w:ind w:left="695" w:right="1728" w:firstLine="355"/>
        <w:jc w:val="both"/>
      </w:pP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 foregoing survey of the jurisdiction of a high court under the original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Constitution was drastically curtailed in various ways, by the Constitution </w:t>
      </w:r>
      <w:r>
        <w:rPr>
          <w:rFonts w:ascii="Times New Roman" w:hAnsi="Times New Roman" w:cs="Times New Roman"/>
          <w:color w:val="000000"/>
          <w:spacing w:val="1"/>
          <w:w w:val="126"/>
          <w:sz w:val="16"/>
          <w:szCs w:val="16"/>
        </w:rPr>
        <w:t xml:space="preserve">(42nd</w:t>
      </w:r>
    </w:p>
    <w:p>
      <w:pPr>
        <w:tabs>
          <w:tab w:val="left" w:pos="2577"/>
        </w:tabs>
        <w:spacing w:before="99" w:after="0" w:line="144" w:lineRule="exact"/>
        <w:ind w:left="724" w:right="1718"/>
        <w:jc w:val="both"/>
      </w:pPr>
      <w:r>
        <w:rPr>
          <w:rFonts w:ascii="Times New Roman" w:hAnsi="Times New Roman" w:cs="Times New Roman"/>
          <w:b/>
          <w:color w:val="000000"/>
          <w:spacing w:val="1"/>
          <w:w w:val="128"/>
          <w:sz w:val="16"/>
          <w:szCs w:val="16"/>
        </w:rPr>
        <w:t xml:space="preserve">The 42nd, 43rd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and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 A</w:t>
      </w:r>
      <w:r>
        <w:rPr>
          <w:rFonts w:ascii="Times New Roman" w:hAnsi="Times New Roman" w:cs="Times New Roman"/>
          <w:color w:val="000000"/>
          <w:spacing w:val="1"/>
          <w:w w:val="128"/>
          <w:sz w:val="24"/>
          <w:szCs w:val="24"/>
          <w:vertAlign w:val="superscript"/>
        </w:rPr>
        <w:t xml:space="preserve">mendment) Act, 1976, which has been referred to at the en</w:t>
      </w:r>
      <w:r>
        <w:rPr>
          <w:rFonts w:ascii="Times New Roman" w:hAnsi="Times New Roman" w:cs="Times New Roman"/>
          <w:color w:val="000000"/>
          <w:spacing w:val="1"/>
          <w:w w:val="128"/>
          <w:sz w:val="24"/>
          <w:szCs w:val="24"/>
          <w:vertAlign w:val="superscript"/>
        </w:rPr>
        <w:t xml:space="preserve">d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of chapter 22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ante,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in the context of the Supreme Court, but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0" w:after="0" w:line="128" w:lineRule="exact"/>
        <w:ind w:left="724"/>
        <w:jc w:val="left"/>
      </w:pPr>
      <w:r>
        <w:rPr>
          <w:rFonts w:ascii="Times New Roman" w:hAnsi="Times New Roman" w:cs="Times New Roman"/>
          <w:b/>
          <w:color w:val="000000"/>
          <w:spacing w:val="1"/>
          <w:w w:val="100"/>
          <w:sz w:val="16"/>
          <w:szCs w:val="16"/>
        </w:rPr>
        <w:t xml:space="preserve">44th Amendments.</w:t>
      </w:r>
    </w:p>
    <w:p>
      <w:pPr>
        <w:spacing w:before="94" w:after="0" w:line="128" w:lineRule="exact"/>
        <w:ind w:left="10"/>
        <w:jc w:val="left"/>
      </w:pP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br w:type="column"/>
        <w:t xml:space="preserve">the new provisions in Articles 226A and 228A which had been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407" w:space="160" w:equalWidth="0"/>
            <w:col w:w="7053" w:space="160" w:equalWidth="0"/>
          </w:cols>
        </w:sectPr>
      </w:pPr>
    </w:p>
    <w:p>
      <w:pPr>
        <w:spacing w:before="0" w:after="0" w:line="220" w:lineRule="exact"/>
        <w:ind w:left="686" w:right="1722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inserted by the Constitution (42nd Amendment) Act, 1976, have all been omitted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by the 43rd Amendment Act, 1977,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and the original position has been restored.</w:t>
      </w:r>
    </w:p>
    <w:p>
      <w:pPr>
        <w:spacing w:before="69" w:after="0" w:line="200" w:lineRule="exact"/>
        <w:ind w:left="681" w:right="1727" w:firstLine="369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In this context, we must mention Articles 323A-323B, inserted by the 42nd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Amendment Act.</w:t>
      </w:r>
    </w:p>
    <w:p>
      <w:pPr>
        <w:spacing w:before="72" w:after="0" w:line="210" w:lineRule="exact"/>
        <w:ind w:left="676" w:right="1723" w:firstLine="37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Parliament has passed the Administrative Tribunals Act, 1985, implementing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Article 323A, under which the Central Government has set up Central Administrative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Tribunals with respect to services under the Union.</w:t>
      </w:r>
    </w:p>
    <w:p>
      <w:pPr>
        <w:spacing w:before="74" w:after="0" w:line="206" w:lineRule="exact"/>
        <w:ind w:left="648" w:right="1722" w:firstLine="388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As a result, all courts of law including the high court shall cease to have any </w:t>
      </w: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jurisdiction to entertain any litigation relating to the recruitment and other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service matters relating to persons appointed to the public services of the Union,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whether in its original or appellate jurisdiction. The Supreme Court has, however,</w:t>
      </w:r>
    </w:p>
    <w:p>
      <w:pPr>
        <w:spacing w:before="0" w:after="0" w:line="206" w:lineRule="exact"/>
        <w:ind w:left="671" w:right="1728" w:firstLine="9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been spared its special leave jurisdiction of appeals from these Tribunals, under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Article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136 of the Constitution. But subsequently, the position turned out to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be otherwise as the Supreme Court declared the Article 323A, clause 2(d) and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Article 323B, clause 3(d) and also the "exclusion of jurisdiction" clauses in all the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legislations enacted in pursuance of these Articles, unconstitutional to the extent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they excluded the jurisdiction of the high courts and the Supreme Court under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Articles 226/227 and 32.24</w:t>
      </w:r>
    </w:p>
    <w:p>
      <w:pPr>
        <w:spacing w:before="65" w:after="0" w:line="210" w:lineRule="exact"/>
        <w:ind w:left="686" w:right="1713" w:firstLine="355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The 18th Law Commission in its 215th Report in December, 2008 recommended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Supreme Court to reconsider its decision in </w:t>
      </w:r>
      <w:r>
        <w:rPr>
          <w:rFonts w:ascii="Times New Roman" w:hAnsi="Times New Roman" w:cs="Times New Roman"/>
          <w:i/>
          <w:color w:val="000000"/>
          <w:spacing w:val="1"/>
          <w:w w:val="128"/>
          <w:sz w:val="16"/>
          <w:szCs w:val="16"/>
        </w:rPr>
        <w:t xml:space="preserve">L Chandra Kuma?' especially in the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light of the facts that the Supreme Court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in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SP Sampath Kumai5,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wherein the Supreme</w:t>
      </w:r>
    </w:p>
    <w:p>
      <w:pPr>
        <w:spacing w:before="0" w:after="0" w:line="210" w:lineRule="exact"/>
        <w:ind w:left="643" w:right="1736" w:firstLine="38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Court directed the carrying out of certain measures with a view to ensuring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functioning of the Administrative Tribunals along constitutionally sound principles.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The changes were brought about in the Act by an amending Act (Act 19 of 1986).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Jurisdiction of the Supreme Court under Article 32 was restored. Constitutional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validity of the Act was finally upheld in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SP Sampath Kumar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subject, of course, to</w:t>
      </w:r>
    </w:p>
    <w:p>
      <w:pPr>
        <w:spacing w:before="0" w:after="0" w:line="205" w:lineRule="exact"/>
        <w:ind w:left="671" w:right="1737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certain amendments relating to the form and content of the Administrative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Tribunals. Thus became the Administrative Tribunals an effective and real substitute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for the high courts. However, in 1997, a seven-judge Bench of the Supreme Court in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6"/>
          <w:szCs w:val="16"/>
        </w:rPr>
        <w:t xml:space="preserve">L Chandra Kumar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held that clause 2(d) of Article 323A and clause 3(d) of Article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323B, to the extent they empower Parliament to exclude the jurisdiction of the high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