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07" w:lineRule="exact"/>
        <w:ind w:left="1041"/>
        <w:rPr>
          <w:sz w:val="24"/>
          <w:szCs w:val="24"/>
        </w:rPr>
      </w:pPr>
    </w:p>
    <w:p>
      <w:pPr>
        <w:tabs>
          <w:tab w:val="left" w:pos="2222"/>
          <w:tab w:val="left" w:pos="7425"/>
        </w:tabs>
        <w:spacing w:before="28" w:after="0" w:line="207" w:lineRule="exact"/>
        <w:ind w:left="1041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326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INTRODUCTION TO THE CONSTITUTION OF INDIA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[CHAP. 23</w:t>
      </w:r>
    </w:p>
    <w:p>
      <w:pPr>
        <w:spacing w:before="0" w:after="0" w:line="208" w:lineRule="exact"/>
        <w:ind w:left="1003"/>
        <w:rPr>
          <w:sz w:val="24"/>
          <w:szCs w:val="24"/>
        </w:rPr>
      </w:pPr>
    </w:p>
    <w:p>
      <w:pPr>
        <w:tabs>
          <w:tab w:val="left" w:pos="5433"/>
          <w:tab w:val="left" w:pos="7411"/>
        </w:tabs>
        <w:spacing w:before="58" w:after="0" w:line="208" w:lineRule="exact"/>
        <w:ind w:left="1003" w:right="1332" w:firstLine="38"/>
        <w:jc w:val="both"/>
      </w:pPr>
      <w:r>
        <w:rPr>
          <w:rFonts w:ascii="Times New Roman" w:hAnsi="Times New Roman" w:cs="Times New Roman"/>
          <w:color w:val="000000"/>
          <w:spacing w:val="0"/>
          <w:w w:val="126"/>
          <w:sz w:val="18"/>
          <w:szCs w:val="18"/>
        </w:rPr>
        <w:t xml:space="preserve">courts and the Supreme Court under Articles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24"/>
          <w:sz w:val="18"/>
          <w:szCs w:val="18"/>
        </w:rPr>
        <w:t xml:space="preserve">226/227 and Article 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1"/>
          <w:w w:val="127"/>
          <w:sz w:val="18"/>
          <w:szCs w:val="18"/>
        </w:rPr>
        <w:t xml:space="preserve">32 of the </w:t>
      </w:r>
      <w:r>
        <w:rPr>
          <w:rFonts w:ascii="Times New Roman" w:hAnsi="Times New Roman" w:cs="Times New Roman"/>
          <w:color w:val="000000"/>
          <w:spacing w:val="0"/>
          <w:w w:val="125"/>
          <w:sz w:val="18"/>
          <w:szCs w:val="18"/>
        </w:rPr>
        <w:t xml:space="preserve">Constitution, are unconstitutional. Section 28 of the Act and the "exclusion of </w:t>
      </w:r>
      <w:r>
        <w:rPr>
          <w:rFonts w:ascii="Times New Roman" w:hAnsi="Times New Roman" w:cs="Times New Roman"/>
          <w:color w:val="000000"/>
          <w:spacing w:val="0"/>
          <w:w w:val="117"/>
          <w:sz w:val="18"/>
          <w:szCs w:val="18"/>
        </w:rPr>
        <w:t xml:space="preserve">jurisdiction" clauses in all other legislations enacted under the aegis of Articles 323A </w:t>
      </w: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and 323B would, to the same extent, be unconstitutional. The Court held that the </w:t>
      </w:r>
      <w:r>
        <w:rPr>
          <w:rFonts w:ascii="Times New Roman" w:hAnsi="Times New Roman" w:cs="Times New Roman"/>
          <w:color w:val="000000"/>
          <w:spacing w:val="0"/>
          <w:w w:val="124"/>
          <w:sz w:val="18"/>
          <w:szCs w:val="18"/>
        </w:rPr>
        <w:t xml:space="preserve">jurisdiction conferred upon the high courts under Articles 226/227 and upon the </w:t>
      </w:r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Supreme Court under Article 32 of the Constitution is part of the inviolable basic </w:t>
      </w:r>
      <w:r>
        <w:rPr>
          <w:rFonts w:ascii="Times New Roman" w:hAnsi="Times New Roman" w:cs="Times New Roman"/>
          <w:color w:val="000000"/>
          <w:spacing w:val="0"/>
          <w:w w:val="124"/>
          <w:sz w:val="18"/>
          <w:szCs w:val="18"/>
        </w:rPr>
        <w:t xml:space="preserve">structure of our Constitution. All decisions of the Administrative Tribunals are </w:t>
      </w:r>
      <w:r>
        <w:rPr>
          <w:rFonts w:ascii="Times New Roman" w:hAnsi="Times New Roman" w:cs="Times New Roman"/>
          <w:color w:val="000000"/>
          <w:spacing w:val="0"/>
          <w:w w:val="114"/>
          <w:sz w:val="18"/>
          <w:szCs w:val="18"/>
        </w:rPr>
        <w:t xml:space="preserve">subject to scrutiny before a Division Bench of the high court within whose jurisdiction</w:t>
      </w:r>
    </w:p>
    <w:p>
      <w:pPr>
        <w:spacing w:before="0" w:after="0" w:line="203" w:lineRule="exact"/>
        <w:ind w:left="1031" w:right="1366" w:firstLine="9"/>
        <w:jc w:val="both"/>
      </w:pPr>
      <w:r>
        <w:rPr>
          <w:rFonts w:ascii="Times New Roman" w:hAnsi="Times New Roman" w:cs="Times New Roman"/>
          <w:color w:val="000000"/>
          <w:spacing w:val="0"/>
          <w:w w:val="118"/>
          <w:sz w:val="18"/>
          <w:szCs w:val="18"/>
        </w:rPr>
        <w:t xml:space="preserve">the Tribunal concerned falls. As a result, orders of the Administrative Tribunals are </w:t>
      </w:r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being routinely appealed against in high courts, whereas this was not the position </w:t>
      </w:r>
      <w:r>
        <w:rPr>
          <w:rFonts w:ascii="Times New Roman" w:hAnsi="Times New Roman" w:cs="Times New Roman"/>
          <w:color w:val="000000"/>
          <w:spacing w:val="0"/>
          <w:w w:val="117"/>
          <w:sz w:val="18"/>
          <w:szCs w:val="18"/>
        </w:rPr>
        <w:t xml:space="preserve">prior to the </w:t>
      </w:r>
      <w:r>
        <w:rPr>
          <w:rFonts w:ascii="Times New Roman" w:hAnsi="Times New Roman" w:cs="Times New Roman"/>
          <w:i/>
          <w:color w:val="000000"/>
          <w:spacing w:val="0"/>
          <w:w w:val="117"/>
          <w:sz w:val="16"/>
          <w:szCs w:val="16"/>
        </w:rPr>
        <w:t xml:space="preserve">L Chandra Kumar's </w:t>
      </w:r>
      <w:r>
        <w:rPr>
          <w:rFonts w:ascii="Times New Roman" w:hAnsi="Times New Roman" w:cs="Times New Roman"/>
          <w:color w:val="000000"/>
          <w:spacing w:val="0"/>
          <w:w w:val="117"/>
          <w:sz w:val="18"/>
          <w:szCs w:val="18"/>
        </w:rPr>
        <w:t xml:space="preserve">case. On 18 March 2006, the Administrative Tribunals </w:t>
      </w:r>
      <w:r>
        <w:rPr>
          <w:rFonts w:ascii="Times New Roman" w:hAnsi="Times New Roman" w:cs="Times New Roman"/>
          <w:color w:val="000000"/>
          <w:spacing w:val="0"/>
          <w:w w:val="115"/>
          <w:sz w:val="18"/>
          <w:szCs w:val="18"/>
        </w:rPr>
        <w:t xml:space="preserve">(Amendment) Bill, 2006 (Bill No XXVIII of 2006) was introduced in Rajya Sabha to </w:t>
      </w:r>
      <w:r>
        <w:rPr>
          <w:rFonts w:ascii="Times New Roman" w:hAnsi="Times New Roman" w:cs="Times New Roman"/>
          <w:color w:val="000000"/>
          <w:spacing w:val="0"/>
          <w:w w:val="126"/>
          <w:sz w:val="18"/>
          <w:szCs w:val="18"/>
        </w:rPr>
        <w:t xml:space="preserve">amend the Act by incorporating therein, </w:t>
      </w:r>
      <w:r>
        <w:rPr>
          <w:rFonts w:ascii="Times New Roman" w:hAnsi="Times New Roman" w:cs="Times New Roman"/>
          <w:i/>
          <w:color w:val="000000"/>
          <w:spacing w:val="0"/>
          <w:w w:val="126"/>
          <w:sz w:val="16"/>
          <w:szCs w:val="16"/>
        </w:rPr>
        <w:t xml:space="preserve">inter alia, </w:t>
      </w:r>
      <w:r>
        <w:rPr>
          <w:rFonts w:ascii="Times New Roman" w:hAnsi="Times New Roman" w:cs="Times New Roman"/>
          <w:color w:val="000000"/>
          <w:spacing w:val="0"/>
          <w:w w:val="126"/>
          <w:sz w:val="18"/>
          <w:szCs w:val="18"/>
        </w:rPr>
        <w:t xml:space="preserve">provisions empowering the </w:t>
      </w: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Central Government to abolish Administrative Tribunals, and for appeal to high </w:t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court to bring the Act in line with </w:t>
      </w:r>
      <w:r>
        <w:rPr>
          <w:rFonts w:ascii="Times New Roman" w:hAnsi="Times New Roman" w:cs="Times New Roman"/>
          <w:i/>
          <w:color w:val="000000"/>
          <w:spacing w:val="0"/>
          <w:w w:val="120"/>
          <w:sz w:val="16"/>
          <w:szCs w:val="16"/>
        </w:rPr>
        <w:t xml:space="preserve">L Chandra Kumar.</w:t>
      </w:r>
    </w:p>
    <w:p>
      <w:pPr>
        <w:tabs>
          <w:tab w:val="left" w:pos="2356"/>
          <w:tab w:val="left" w:pos="3278"/>
        </w:tabs>
        <w:spacing w:before="110" w:after="0" w:line="184" w:lineRule="exact"/>
        <w:ind w:left="1041" w:firstLine="0"/>
        <w:ind w:right="0"/>
      </w:pPr>
      <w:r>
        <w:rPr>
          <w:rFonts w:ascii="Times New Roman" w:hAnsi="Times New Roman" w:cs="Times New Roman"/>
          <w:b/>
          <w:color w:val="000000"/>
          <w:spacing w:val="0"/>
          <w:w w:val="109"/>
          <w:sz w:val="16"/>
          <w:szCs w:val="16"/>
        </w:rPr>
        <w:t xml:space="preserve">Jurisdiction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4"/>
          <w:sz w:val="16"/>
          <w:szCs w:val="16"/>
        </w:rPr>
        <w:t xml:space="preserve">over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15"/>
          <w:sz w:val="18"/>
          <w:szCs w:val="18"/>
        </w:rPr>
        <w:t xml:space="preserve">In 2007 the Armed Forces Tribunal was constituted whose</w:t>
      </w:r>
    </w:p>
    <w:p>
      <w:pPr>
        <w:tabs>
          <w:tab w:val="left" w:pos="2188"/>
        </w:tabs>
        <w:spacing w:before="1" w:after="0" w:line="193" w:lineRule="exact"/>
        <w:ind w:left="1041" w:firstLine="14"/>
        <w:ind w:right="0"/>
      </w:pPr>
      <w:r>
        <w:rPr>
          <w:rFonts w:ascii="Times New Roman" w:hAnsi="Times New Roman" w:cs="Times New Roman"/>
          <w:b/>
          <w:color w:val="000000"/>
          <w:spacing w:val="0"/>
          <w:w w:val="107"/>
          <w:sz w:val="16"/>
          <w:szCs w:val="16"/>
        </w:rPr>
        <w:t xml:space="preserve">Armed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20"/>
          <w:sz w:val="16"/>
          <w:szCs w:val="16"/>
        </w:rPr>
        <w:t xml:space="preserve">Forces </w:t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  appeal also lies directly to the Supreme Court. The Supreme</w:t>
      </w:r>
    </w:p>
    <w:p>
      <w:pPr>
        <w:tabs>
          <w:tab w:val="left" w:pos="2913"/>
        </w:tabs>
        <w:spacing w:before="1" w:after="0" w:line="179" w:lineRule="exact"/>
        <w:ind w:left="1041" w:firstLine="19"/>
        <w:ind w:right="0"/>
      </w:pPr>
      <w:r>
        <w:rPr>
          <w:rFonts w:ascii="Times New Roman" w:hAnsi="Times New Roman" w:cs="Times New Roman"/>
          <w:b/>
          <w:color w:val="000000"/>
          <w:spacing w:val="0"/>
          <w:w w:val="104"/>
          <w:sz w:val="16"/>
          <w:szCs w:val="16"/>
        </w:rPr>
        <w:t xml:space="preserve">Tribunal.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17"/>
          <w:sz w:val="18"/>
          <w:szCs w:val="18"/>
        </w:rPr>
        <w:t xml:space="preserve">Court in the matter of </w:t>
      </w:r>
      <w:r>
        <w:rPr>
          <w:rFonts w:ascii="Times New Roman" w:hAnsi="Times New Roman" w:cs="Times New Roman"/>
          <w:i/>
          <w:color w:val="000000"/>
          <w:spacing w:val="0"/>
          <w:w w:val="117"/>
          <w:sz w:val="18"/>
          <w:szCs w:val="18"/>
        </w:rPr>
        <w:t xml:space="preserve">"UOI </w:t>
      </w:r>
      <w:r>
        <w:rPr>
          <w:rFonts w:ascii="Times New Roman" w:hAnsi="Times New Roman" w:cs="Times New Roman"/>
          <w:color w:val="000000"/>
          <w:spacing w:val="0"/>
          <w:w w:val="117"/>
          <w:sz w:val="18"/>
          <w:szCs w:val="18"/>
        </w:rPr>
        <w:t xml:space="preserve">v </w:t>
      </w:r>
      <w:r>
        <w:rPr>
          <w:rFonts w:ascii="Times New Roman" w:hAnsi="Times New Roman" w:cs="Times New Roman"/>
          <w:i/>
          <w:color w:val="000000"/>
          <w:spacing w:val="0"/>
          <w:w w:val="117"/>
          <w:sz w:val="16"/>
          <w:szCs w:val="16"/>
        </w:rPr>
        <w:t xml:space="preserve">Brig PS Gilt'26 </w:t>
      </w:r>
      <w:r>
        <w:rPr>
          <w:rFonts w:ascii="Times New Roman" w:hAnsi="Times New Roman" w:cs="Times New Roman"/>
          <w:color w:val="000000"/>
          <w:spacing w:val="0"/>
          <w:w w:val="117"/>
          <w:sz w:val="18"/>
          <w:szCs w:val="18"/>
        </w:rPr>
        <w:t xml:space="preserve">observed that:</w:t>
      </w:r>
    </w:p>
    <w:p>
      <w:pPr>
        <w:spacing w:before="116" w:after="0" w:line="193" w:lineRule="exact"/>
        <w:ind w:left="1756" w:right="1363" w:firstLine="355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107"/>
          <w:sz w:val="16"/>
          <w:szCs w:val="16"/>
        </w:rPr>
        <w:t xml:space="preserve">A </w:t>
      </w:r>
      <w:r>
        <w:rPr>
          <w:rFonts w:ascii="Times New Roman" w:hAnsi="Times New Roman" w:cs="Times New Roman"/>
          <w:i/>
          <w:color w:val="000000"/>
          <w:spacing w:val="0"/>
          <w:w w:val="107"/>
          <w:sz w:val="16"/>
          <w:szCs w:val="16"/>
        </w:rPr>
        <w:t xml:space="preserve">conjoint reading of Sections 30 and 31 can lead to only one conclusion viz. there is no </w:t>
      </w:r>
      <w:r>
        <w:rPr>
          <w:rFonts w:ascii="Times New Roman" w:hAnsi="Times New Roman" w:cs="Times New Roman"/>
          <w:i/>
          <w:color w:val="000000"/>
          <w:spacing w:val="0"/>
          <w:w w:val="107"/>
          <w:sz w:val="16"/>
          <w:szCs w:val="16"/>
        </w:rPr>
        <w:t xml:space="preserve">vested right of appeal against a final order or decision of the Tribunal to this Court other than </w:t>
      </w:r>
      <w:r>
        <w:rPr>
          <w:rFonts w:ascii="Times New Roman" w:hAnsi="Times New Roman" w:cs="Times New Roman"/>
          <w:i/>
          <w:color w:val="000000"/>
          <w:spacing w:val="0"/>
          <w:w w:val="105"/>
          <w:sz w:val="16"/>
          <w:szCs w:val="16"/>
        </w:rPr>
        <w:t xml:space="preserve">those falling under Section 30(2) of the Act. The only mode to bring up the matter to this Court </w:t>
      </w:r>
      <w:r>
        <w:rPr>
          <w:rFonts w:ascii="Times New Roman" w:hAnsi="Times New Roman" w:cs="Times New Roman"/>
          <w:i/>
          <w:color w:val="000000"/>
          <w:spacing w:val="0"/>
          <w:w w:val="104"/>
          <w:sz w:val="16"/>
          <w:szCs w:val="16"/>
        </w:rPr>
        <w:t xml:space="preserve">in appeal is either by way of certificate obtained from the Tribunal that decided the matter or by </w:t>
      </w:r>
      <w:r>
        <w:rPr>
          <w:rFonts w:ascii="Times New Roman" w:hAnsi="Times New Roman" w:cs="Times New Roman"/>
          <w:i/>
          <w:color w:val="000000"/>
          <w:spacing w:val="0"/>
          <w:w w:val="110"/>
          <w:sz w:val="16"/>
          <w:szCs w:val="16"/>
        </w:rPr>
        <w:t xml:space="preserve">obtaining leave of this Court under Section 31 for filing an appeal depending upon whether </w:t>
      </w:r>
      <w:r>
        <w:rPr>
          <w:rFonts w:ascii="Times New Roman" w:hAnsi="Times New Roman" w:cs="Times New Roman"/>
          <w:i/>
          <w:color w:val="000000"/>
          <w:spacing w:val="0"/>
          <w:w w:val="105"/>
          <w:sz w:val="16"/>
          <w:szCs w:val="16"/>
        </w:rPr>
        <w:t xml:space="preserve">this Court considers the point involved in the case to be one that ought to be considered by this </w:t>
      </w:r>
      <w:r>
        <w:rPr>
          <w:rFonts w:ascii="Times New Roman" w:hAnsi="Times New Roman" w:cs="Times New Roman"/>
          <w:i/>
          <w:color w:val="000000"/>
          <w:spacing w:val="0"/>
          <w:w w:val="104"/>
          <w:sz w:val="16"/>
          <w:szCs w:val="16"/>
        </w:rPr>
        <w:t xml:space="preserve">Court.</w:t>
      </w:r>
    </w:p>
    <w:p>
      <w:pPr>
        <w:spacing w:before="82" w:after="0" w:line="200" w:lineRule="exact"/>
        <w:ind w:left="1017" w:right="1371" w:firstLine="364"/>
        <w:jc w:val="both"/>
      </w:pPr>
      <w:r>
        <w:rPr>
          <w:rFonts w:ascii="Times New Roman" w:hAnsi="Times New Roman" w:cs="Times New Roman"/>
          <w:color w:val="000000"/>
          <w:spacing w:val="1"/>
          <w:w w:val="127"/>
          <w:sz w:val="18"/>
          <w:szCs w:val="18"/>
        </w:rPr>
        <w:t xml:space="preserve">However, the Supreme Court in </w:t>
      </w:r>
      <w:r>
        <w:rPr>
          <w:rFonts w:ascii="Times New Roman" w:hAnsi="Times New Roman" w:cs="Times New Roman"/>
          <w:i/>
          <w:color w:val="000000"/>
          <w:spacing w:val="1"/>
          <w:w w:val="127"/>
          <w:sz w:val="16"/>
          <w:szCs w:val="16"/>
        </w:rPr>
        <w:t xml:space="preserve">"Madras Bar Association v COP' </w:t>
      </w:r>
      <w:r>
        <w:rPr>
          <w:rFonts w:ascii="Times New Roman" w:hAnsi="Times New Roman" w:cs="Times New Roman"/>
          <w:color w:val="000000"/>
          <w:spacing w:val="1"/>
          <w:w w:val="127"/>
          <w:sz w:val="18"/>
          <w:szCs w:val="18"/>
        </w:rPr>
        <w:t xml:space="preserve">held (per </w:t>
      </w:r>
      <w:r>
        <w:rPr>
          <w:rFonts w:ascii="Times New Roman" w:hAnsi="Times New Roman" w:cs="Times New Roman"/>
          <w:color w:val="000000"/>
          <w:spacing w:val="0"/>
          <w:w w:val="126"/>
          <w:sz w:val="18"/>
          <w:szCs w:val="18"/>
        </w:rPr>
        <w:t xml:space="preserve">majority) that the jurisdiction to adjudicate upon questions of law/substantial</w:t>
      </w:r>
    </w:p>
    <w:p>
      <w:pPr>
        <w:spacing w:after="0" w:line="240" w:lineRule="exact"/>
        <w:rPr>
          <w:sz w:val="12"/>
          <w:szCs w:val="12"/>
        </w:rPr>
        <w:sectPr>
          <w:pgSz w:w="9780" w:h="13460"/>
          <w:pgMar w:top="-20" w:right="0" w:bottom="-20" w:left="0" w:header="0" w:footer="0" w:gutter="0"/>
        </w:sectPr>
      </w:pPr>
    </w:p>
    <w:p>
      <w:pPr>
        <w:spacing w:before="149" w:after="0" w:line="182" w:lineRule="exact"/>
        <w:ind w:left="1051" w:right="56" w:firstLine="4"/>
        <w:jc w:val="both"/>
      </w:pPr>
      <w:r>
        <w:rPr>
          <w:rFonts w:ascii="Times New Roman" w:hAnsi="Times New Roman" w:cs="Times New Roman"/>
          <w:color w:val="000000"/>
          <w:spacing w:val="2"/>
          <w:w w:val="100"/>
          <w:sz w:val="18"/>
          <w:szCs w:val="18"/>
        </w:rPr>
        <w:t xml:space="preserve">National Tax </w:t>
      </w:r>
      <w:r>
        <w:rPr>
          <w:rFonts w:ascii="Times New Roman" w:hAnsi="Times New Roman" w:cs="Times New Roman"/>
          <w:b/>
          <w:color w:val="000000"/>
          <w:spacing w:val="2"/>
          <w:w w:val="100"/>
          <w:sz w:val="16"/>
          <w:szCs w:val="16"/>
        </w:rPr>
        <w:t xml:space="preserve">Trilm. </w:t>
      </w:r>
      <w:br/>
      <w:r>
        <w:rPr>
          <w:rFonts w:ascii="Times New Roman" w:hAnsi="Times New Roman" w:cs="Times New Roman"/>
          <w:b/>
          <w:color w:val="000000"/>
          <w:spacing w:val="0"/>
          <w:w w:val="104"/>
          <w:sz w:val="16"/>
          <w:szCs w:val="16"/>
        </w:rPr>
        <w:t xml:space="preserve">nal Unconstitutional.</w:t>
      </w:r>
    </w:p>
    <w:p>
      <w:pPr>
        <w:spacing w:before="20" w:after="0" w:line="206" w:lineRule="exact"/>
        <w:ind w:left="10" w:right="1255" w:firstLine="4"/>
        <w:jc w:val="both"/>
      </w:pPr>
      <w:r>
        <w:rPr>
          <w:rFonts w:ascii="Times New Roman" w:hAnsi="Times New Roman" w:cs="Times New Roman"/>
          <w:color w:val="000000"/>
          <w:spacing w:val="0"/>
          <w:w w:val="116"/>
          <w:sz w:val="18"/>
          <w:szCs w:val="18"/>
        </w:rPr>
        <w:br w:type="column"/>
        <w:t xml:space="preserve">questions of law of the high court under any ordinary law may </w:t>
      </w:r>
      <w:r>
        <w:rPr>
          <w:rFonts w:ascii="Times New Roman" w:hAnsi="Times New Roman" w:cs="Times New Roman"/>
          <w:color w:val="000000"/>
          <w:spacing w:val="0"/>
          <w:w w:val="125"/>
          <w:sz w:val="18"/>
          <w:szCs w:val="18"/>
        </w:rPr>
        <w:t xml:space="preserve">be  transferred  to  an  appropriately constituted  tribunal. </w:t>
      </w:r>
      <w:br/>
      <w:r>
        <w:rPr>
          <w:rFonts w:ascii="Times New Roman" w:hAnsi="Times New Roman" w:cs="Times New Roman"/>
          <w:color w:val="000000"/>
          <w:spacing w:val="0"/>
          <w:w w:val="126"/>
          <w:sz w:val="18"/>
          <w:szCs w:val="18"/>
        </w:rPr>
        <w:t xml:space="preserve">Therefore, the validity of the Constitution </w:t>
      </w:r>
      <w:r>
        <w:rPr>
          <w:rFonts w:ascii="Times New Roman" w:hAnsi="Times New Roman" w:cs="Times New Roman"/>
          <w:color w:val="000000"/>
          <w:spacing w:val="0"/>
          <w:w w:val="113"/>
          <w:sz w:val="18"/>
          <w:szCs w:val="18"/>
        </w:rPr>
        <w:t xml:space="preserve">(Forty-Second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  <w:cols w:num="2" w:space="720" w:equalWidth="0">
            <w:col w:w="2729" w:space="160" w:equalWidth="0"/>
            <w:col w:w="6731" w:space="160" w:equalWidth="0"/>
          </w:cols>
        </w:sectPr>
      </w:pPr>
    </w:p>
    <w:p>
      <w:pPr>
        <w:spacing w:before="0" w:after="0" w:line="204" w:lineRule="exact"/>
        <w:ind w:left="1003" w:right="1375" w:firstLine="4"/>
        <w:jc w:val="both"/>
      </w:pPr>
      <w:r>
        <w:rPr>
          <w:rFonts w:ascii="Times New Roman" w:hAnsi="Times New Roman" w:cs="Times New Roman"/>
          <w:color w:val="000000"/>
          <w:spacing w:val="0"/>
          <w:w w:val="117"/>
          <w:sz w:val="18"/>
          <w:szCs w:val="18"/>
        </w:rPr>
        <w:t xml:space="preserve">Amendment) Act, 1976 insofar as it inserts Article 323B is reaffirmed. However, the </w:t>
      </w: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National Tax Tribunal </w:t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(NTT) Act, </w:t>
      </w:r>
      <w:r>
        <w:rPr>
          <w:rFonts w:ascii="Times New Roman" w:hAnsi="Times New Roman" w:cs="Times New Roman"/>
          <w:color w:val="000000"/>
          <w:spacing w:val="0"/>
          <w:w w:val="124"/>
          <w:sz w:val="18"/>
          <w:szCs w:val="18"/>
        </w:rPr>
        <w:t xml:space="preserve">2005 is unconstitutional, as in transferring </w:t>
      </w: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the above-said power from a traditional court to an alternative court/tribunal, the </w:t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salient characteristics of the court were sought to be replaced and not incorporated </w:t>
      </w:r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in the court/tribunal created. Especially the provisions in the NTT Act, 2005, </w:t>
      </w:r>
      <w:r>
        <w:rPr>
          <w:rFonts w:ascii="Times New Roman" w:hAnsi="Times New Roman" w:cs="Times New Roman"/>
          <w:i/>
          <w:color w:val="000000"/>
          <w:spacing w:val="0"/>
          <w:w w:val="122"/>
          <w:sz w:val="16"/>
          <w:szCs w:val="16"/>
        </w:rPr>
        <w:t xml:space="preserve">viz. </w:t>
      </w:r>
      <w:r>
        <w:rPr>
          <w:rFonts w:ascii="Times New Roman" w:hAnsi="Times New Roman" w:cs="Times New Roman"/>
          <w:color w:val="000000"/>
          <w:spacing w:val="0"/>
          <w:w w:val="115"/>
          <w:sz w:val="18"/>
          <w:szCs w:val="18"/>
        </w:rPr>
        <w:t xml:space="preserve">sections </w:t>
      </w:r>
      <w:r>
        <w:rPr>
          <w:rFonts w:ascii="Times New Roman" w:hAnsi="Times New Roman" w:cs="Times New Roman"/>
          <w:color w:val="000000"/>
          <w:spacing w:val="2"/>
          <w:w w:val="100"/>
          <w:sz w:val="18"/>
          <w:szCs w:val="18"/>
        </w:rPr>
        <w:t xml:space="preserve">5, </w:t>
      </w:r>
      <w:r>
        <w:rPr>
          <w:rFonts w:ascii="Times New Roman" w:hAnsi="Times New Roman" w:cs="Times New Roman"/>
          <w:color w:val="000000"/>
          <w:spacing w:val="2"/>
          <w:w w:val="100"/>
          <w:sz w:val="18"/>
          <w:szCs w:val="18"/>
        </w:rPr>
        <w:t xml:space="preserve">6, </w:t>
      </w: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7, </w:t>
      </w:r>
      <w:r>
        <w:rPr>
          <w:rFonts w:ascii="Times New Roman" w:hAnsi="Times New Roman" w:cs="Times New Roman"/>
          <w:color w:val="000000"/>
          <w:spacing w:val="1"/>
          <w:w w:val="126"/>
          <w:sz w:val="18"/>
          <w:szCs w:val="18"/>
        </w:rPr>
        <w:t xml:space="preserve">8 and 13 dealing with the constitution of Benches of NTT, </w:t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qualifications, appointment, terms of office of Chairperson and Members, are thus </w:t>
      </w:r>
      <w:r>
        <w:rPr>
          <w:rFonts w:ascii="Times New Roman" w:hAnsi="Times New Roman" w:cs="Times New Roman"/>
          <w:color w:val="000000"/>
          <w:spacing w:val="0"/>
          <w:w w:val="122"/>
          <w:sz w:val="18"/>
          <w:szCs w:val="18"/>
        </w:rPr>
        <w:t xml:space="preserve">unconstitutional. Since the aforesaid provisions, constitute the edifice of the NTT </w:t>
      </w:r>
      <w:r>
        <w:rPr>
          <w:rFonts w:ascii="Times New Roman" w:hAnsi="Times New Roman" w:cs="Times New Roman"/>
          <w:color w:val="000000"/>
          <w:spacing w:val="0"/>
          <w:w w:val="119"/>
          <w:sz w:val="18"/>
          <w:szCs w:val="18"/>
        </w:rPr>
        <w:t xml:space="preserve">Act, and without these provisions the remaining provisions are rendered ineffective </w:t>
      </w:r>
      <w:r>
        <w:rPr>
          <w:rFonts w:ascii="Times New Roman" w:hAnsi="Times New Roman" w:cs="Times New Roman"/>
          <w:color w:val="000000"/>
          <w:spacing w:val="0"/>
          <w:w w:val="119"/>
          <w:sz w:val="18"/>
          <w:szCs w:val="18"/>
        </w:rPr>
        <w:t xml:space="preserve">and inconsequential, the entire enactment is declared as unconstitutional.</w:t>
      </w:r>
    </w:p>
    <w:p>
      <w:pPr>
        <w:spacing w:before="63" w:after="0" w:line="220" w:lineRule="exact"/>
        <w:ind w:left="1012" w:right="1380" w:firstLine="360"/>
        <w:jc w:val="both"/>
      </w:pPr>
      <w:r>
        <w:rPr>
          <w:rFonts w:ascii="Times New Roman" w:hAnsi="Times New Roman" w:cs="Times New Roman"/>
          <w:color w:val="000000"/>
          <w:spacing w:val="0"/>
          <w:w w:val="124"/>
          <w:sz w:val="18"/>
          <w:szCs w:val="18"/>
        </w:rPr>
        <w:t xml:space="preserve">The Supreme Court in </w:t>
      </w:r>
      <w:r>
        <w:rPr>
          <w:rFonts w:ascii="Times New Roman" w:hAnsi="Times New Roman" w:cs="Times New Roman"/>
          <w:i/>
          <w:color w:val="000000"/>
          <w:spacing w:val="0"/>
          <w:w w:val="124"/>
          <w:sz w:val="16"/>
          <w:szCs w:val="16"/>
        </w:rPr>
        <w:t xml:space="preserve">Vellore Citizens' Welfare Forum v U01,28 </w:t>
      </w:r>
      <w:r>
        <w:rPr>
          <w:rFonts w:ascii="Times New Roman" w:hAnsi="Times New Roman" w:cs="Times New Roman"/>
          <w:color w:val="000000"/>
          <w:spacing w:val="0"/>
          <w:w w:val="124"/>
          <w:sz w:val="18"/>
          <w:szCs w:val="18"/>
        </w:rPr>
        <w:t xml:space="preserve">requested the </w:t>
      </w:r>
      <w:r>
        <w:rPr>
          <w:rFonts w:ascii="Times New Roman" w:hAnsi="Times New Roman" w:cs="Times New Roman"/>
          <w:color w:val="000000"/>
          <w:spacing w:val="0"/>
          <w:w w:val="124"/>
          <w:sz w:val="18"/>
          <w:szCs w:val="18"/>
        </w:rPr>
        <w:t xml:space="preserve">Madras High Court to constitute "Green Bench" to deal with the case and other</w:t>
      </w:r>
    </w:p>
    <w:p>
      <w:pPr>
        <w:tabs>
          <w:tab w:val="left" w:pos="2337"/>
        </w:tabs>
        <w:spacing w:before="122" w:after="0" w:line="184" w:lineRule="exact"/>
        <w:ind w:left="1022" w:firstLine="0"/>
        <w:ind w:right="0"/>
      </w:pPr>
      <w:r>
        <w:rPr>
          <w:rFonts w:ascii="Times New Roman" w:hAnsi="Times New Roman" w:cs="Times New Roman"/>
          <w:b/>
          <w:color w:val="000000"/>
          <w:spacing w:val="0"/>
          <w:w w:val="109"/>
          <w:sz w:val="16"/>
          <w:szCs w:val="16"/>
        </w:rPr>
        <w:t xml:space="preserve">Jurisdiction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23"/>
          <w:sz w:val="16"/>
          <w:szCs w:val="16"/>
        </w:rPr>
        <w:t xml:space="preserve">over </w:t>
      </w:r>
      <w:r>
        <w:rPr>
          <w:rFonts w:ascii="Times New Roman" w:hAnsi="Times New Roman" w:cs="Times New Roman"/>
          <w:color w:val="000000"/>
          <w:spacing w:val="0"/>
          <w:w w:val="123"/>
          <w:sz w:val="18"/>
          <w:szCs w:val="18"/>
        </w:rPr>
        <w:t xml:space="preserve"> e</w:t>
      </w:r>
      <w:r>
        <w:rPr>
          <w:rFonts w:ascii="Times New Roman" w:hAnsi="Times New Roman" w:cs="Times New Roman"/>
          <w:color w:val="000000"/>
          <w:spacing w:val="0"/>
          <w:w w:val="123"/>
          <w:sz w:val="27"/>
          <w:szCs w:val="27"/>
          <w:vertAlign w:val="superscript"/>
        </w:rPr>
        <w:t xml:space="preserve">nvironmental matters, since the right to clean environmen</w:t>
      </w:r>
      <w:r>
        <w:rPr>
          <w:rFonts w:ascii="Times New Roman" w:hAnsi="Times New Roman" w:cs="Times New Roman"/>
          <w:color w:val="000000"/>
          <w:spacing w:val="0"/>
          <w:w w:val="123"/>
          <w:sz w:val="27"/>
          <w:szCs w:val="27"/>
          <w:vertAlign w:val="superscript"/>
        </w:rPr>
        <w:t xml:space="preserve">t</w:t>
      </w:r>
    </w:p>
    <w:p>
      <w:pPr>
        <w:tabs>
          <w:tab w:val="left" w:pos="2203"/>
        </w:tabs>
        <w:spacing w:before="8" w:after="0" w:line="184" w:lineRule="exact"/>
        <w:ind w:left="1022" w:firstLine="24"/>
        <w:ind w:right="0"/>
      </w:pPr>
      <w:r>
        <w:rPr>
          <w:rFonts w:ascii="Times New Roman" w:hAnsi="Times New Roman" w:cs="Times New Roman"/>
          <w:b/>
          <w:color w:val="000000"/>
          <w:spacing w:val="0"/>
          <w:w w:val="106"/>
          <w:sz w:val="16"/>
          <w:szCs w:val="16"/>
        </w:rPr>
        <w:t xml:space="preserve">National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17"/>
          <w:sz w:val="16"/>
          <w:szCs w:val="16"/>
        </w:rPr>
        <w:t xml:space="preserve">Green </w:t>
      </w:r>
      <w:r>
        <w:rPr>
          <w:rFonts w:ascii="Times New Roman" w:hAnsi="Times New Roman" w:cs="Times New Roman"/>
          <w:color w:val="000000"/>
          <w:spacing w:val="0"/>
          <w:w w:val="117"/>
          <w:sz w:val="18"/>
          <w:szCs w:val="18"/>
        </w:rPr>
        <w:t xml:space="preserve"> h</w:t>
      </w:r>
      <w:r>
        <w:rPr>
          <w:rFonts w:ascii="Times New Roman" w:hAnsi="Times New Roman" w:cs="Times New Roman"/>
          <w:color w:val="000000"/>
          <w:spacing w:val="0"/>
          <w:w w:val="117"/>
          <w:sz w:val="27"/>
          <w:szCs w:val="27"/>
          <w:vertAlign w:val="superscript"/>
        </w:rPr>
        <w:t xml:space="preserve">as been construed as a part of the right to life under Article 2</w:t>
      </w:r>
      <w:r>
        <w:rPr>
          <w:rFonts w:ascii="Times New Roman" w:hAnsi="Times New Roman" w:cs="Times New Roman"/>
          <w:color w:val="000000"/>
          <w:spacing w:val="0"/>
          <w:w w:val="117"/>
          <w:sz w:val="27"/>
          <w:szCs w:val="27"/>
          <w:vertAlign w:val="superscript"/>
        </w:rPr>
        <w:t xml:space="preserve">1</w:t>
      </w:r>
    </w:p>
    <w:p>
      <w:pPr>
        <w:tabs>
          <w:tab w:val="left" w:pos="2899"/>
          <w:tab w:val="left" w:pos="5135"/>
        </w:tabs>
        <w:spacing w:before="1" w:after="0" w:line="187" w:lineRule="exact"/>
        <w:ind w:left="1022" w:firstLine="24"/>
        <w:ind w:right="0"/>
      </w:pPr>
      <w:r>
        <w:rPr>
          <w:rFonts w:ascii="Times New Roman" w:hAnsi="Times New Roman" w:cs="Times New Roman"/>
          <w:b/>
          <w:color w:val="000000"/>
          <w:spacing w:val="0"/>
          <w:w w:val="104"/>
          <w:sz w:val="16"/>
          <w:szCs w:val="16"/>
        </w:rPr>
        <w:t xml:space="preserve">Tribunal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26"/>
          <w:sz w:val="18"/>
          <w:szCs w:val="18"/>
        </w:rPr>
        <w:t xml:space="preserve">of the Constitution. In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26"/>
          <w:sz w:val="18"/>
          <w:szCs w:val="18"/>
        </w:rPr>
        <w:t xml:space="preserve">2010, the Parliament enacted the</w:t>
      </w:r>
    </w:p>
    <w:p>
      <w:pPr>
        <w:spacing w:before="0" w:after="0" w:line="162" w:lineRule="exact"/>
        <w:ind w:left="2894"/>
      </w:pPr>
      <w:r>
        <w:rPr>
          <w:rFonts w:ascii="Times New Roman" w:hAnsi="Times New Roman" w:cs="Times New Roman"/>
          <w:color w:val="000000"/>
          <w:spacing w:val="0"/>
          <w:w w:val="119"/>
          <w:sz w:val="18"/>
          <w:szCs w:val="18"/>
        </w:rPr>
        <w:t xml:space="preserve">National Green Tribunal Act, 2010 to constitute the National</w:t>
      </w:r>
    </w:p>
    <w:p>
      <w:pPr>
        <w:spacing w:before="0" w:after="0" w:line="208" w:lineRule="exact"/>
        <w:ind w:left="1003" w:right="1365" w:firstLine="9"/>
        <w:jc w:val="both"/>
      </w:pPr>
      <w:r>
        <w:rPr>
          <w:rFonts w:ascii="Times New Roman" w:hAnsi="Times New Roman" w:cs="Times New Roman"/>
          <w:color w:val="000000"/>
          <w:spacing w:val="0"/>
          <w:w w:val="124"/>
          <w:sz w:val="18"/>
          <w:szCs w:val="18"/>
        </w:rPr>
        <w:t xml:space="preserve">Green Tribunal. The tribunal has original jurisdiction on matters of "substantial </w:t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question relating to environment". The appellate jurisdiction of the National Green </w:t>
      </w:r>
      <w:r>
        <w:rPr>
          <w:rFonts w:ascii="Times New Roman" w:hAnsi="Times New Roman" w:cs="Times New Roman"/>
          <w:color w:val="000000"/>
          <w:spacing w:val="0"/>
          <w:w w:val="125"/>
          <w:sz w:val="18"/>
          <w:szCs w:val="18"/>
        </w:rPr>
        <w:t xml:space="preserve">Tribunal is under (i) under section 28 of the Water (Prevention and Control of </w:t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Pollution) Act, 1974; (ii) under section 29 of the Water (Prevention and Control of </w:t>
      </w:r>
      <w:r>
        <w:rPr>
          <w:rFonts w:ascii="Times New Roman" w:hAnsi="Times New Roman" w:cs="Times New Roman"/>
          <w:color w:val="000000"/>
          <w:spacing w:val="0"/>
          <w:w w:val="120"/>
          <w:sz w:val="18"/>
          <w:szCs w:val="18"/>
        </w:rPr>
        <w:t xml:space="preserve">Pollution) Act, 1974; (iii) under section 33A of the Water (Prevention and Control </w:t>
      </w:r>
      <w:r>
        <w:rPr>
          <w:rFonts w:ascii="Times New Roman" w:hAnsi="Times New Roman" w:cs="Times New Roman"/>
          <w:color w:val="000000"/>
          <w:spacing w:val="0"/>
          <w:w w:val="119"/>
          <w:sz w:val="18"/>
          <w:szCs w:val="18"/>
        </w:rPr>
        <w:t xml:space="preserve">of Pollution) Act, 1974; (iv) under section 13 of the Water (Prevention and Control</w:t>
      </w:r>
    </w:p>
    <w:sectPr>
      <w:type w:val="continuous"/>
      <w:pgSz w:w="9780" w:h="1346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