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07" w:lineRule="exact"/>
        <w:ind w:left="825"/>
        <w:rPr>
          <w:sz w:val="24"/>
          <w:szCs w:val="24"/>
        </w:rPr>
      </w:pPr>
    </w:p>
    <w:p>
      <w:pPr>
        <w:tabs>
          <w:tab w:val="left" w:pos="4017"/>
          <w:tab w:val="left" w:pos="7761"/>
        </w:tabs>
        <w:spacing w:before="85" w:after="0" w:line="207" w:lineRule="exact"/>
        <w:ind w:left="825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02"/>
          <w:sz w:val="18"/>
          <w:szCs w:val="18"/>
        </w:rPr>
        <w:t xml:space="preserve">CHAP. 23]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2"/>
          <w:sz w:val="18"/>
          <w:szCs w:val="18"/>
        </w:rPr>
        <w:t xml:space="preserve">THE HIGH COURT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2"/>
          <w:sz w:val="18"/>
          <w:szCs w:val="18"/>
        </w:rPr>
        <w:t xml:space="preserve">327</w:t>
      </w:r>
    </w:p>
    <w:p>
      <w:pPr>
        <w:spacing w:before="0" w:after="0" w:line="205" w:lineRule="exact"/>
        <w:ind w:left="811"/>
        <w:rPr>
          <w:sz w:val="24"/>
          <w:szCs w:val="24"/>
        </w:rPr>
      </w:pPr>
    </w:p>
    <w:p>
      <w:pPr>
        <w:spacing w:before="66" w:after="0" w:line="205" w:lineRule="exact"/>
        <w:ind w:left="811" w:right="1562" w:firstLine="9"/>
        <w:jc w:val="both"/>
      </w:pP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of Pollution) Cess Act, 1977; (v) under section 2 of the Forest (Conservation) Act, </w:t>
      </w:r>
      <w:r>
        <w:rPr>
          <w:rFonts w:ascii="Times New Roman" w:hAnsi="Times New Roman" w:cs="Times New Roman"/>
          <w:color w:val="000000"/>
          <w:spacing w:val="0"/>
          <w:w w:val="106"/>
          <w:sz w:val="18"/>
          <w:szCs w:val="18"/>
        </w:rPr>
        <w:t xml:space="preserve">1980; </w:t>
      </w: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(vi) under section 31 of the Air (Prevention and Control of Pollution) Act, </w:t>
      </w: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1981; (vii) under section 5 of the Environment (Protection) Act, 1986; (viii) against </w:t>
      </w:r>
      <w:r>
        <w:rPr>
          <w:rFonts w:ascii="Times New Roman" w:hAnsi="Times New Roman" w:cs="Times New Roman"/>
          <w:color w:val="000000"/>
          <w:spacing w:val="2"/>
          <w:w w:val="129"/>
          <w:sz w:val="18"/>
          <w:szCs w:val="18"/>
        </w:rPr>
        <w:t xml:space="preserve">an order made granting environmental clearance in the area, in which any </w:t>
      </w: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industries, operations or processes or class of industries, operations and processes </w:t>
      </w: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shall not be carried out or shall be carried out subject to certain safeguards under </w:t>
      </w: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the Environment (Protection) Act, 1986; </w:t>
      </w: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(ix) against an order refusing to grant </w:t>
      </w: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environmental clearance for carrying out any activity or operation or process under </w:t>
      </w: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the Environment (Protection) Act, 1986; (x) against any determination of benefit </w:t>
      </w:r>
      <w:r>
        <w:rPr>
          <w:rFonts w:ascii="Times New Roman" w:hAnsi="Times New Roman" w:cs="Times New Roman"/>
          <w:color w:val="000000"/>
          <w:spacing w:val="0"/>
          <w:w w:val="116"/>
          <w:sz w:val="18"/>
          <w:szCs w:val="18"/>
        </w:rPr>
        <w:t xml:space="preserve">sharing or order by the National Biodiversity Authority or a State Biodiversity Board </w:t>
      </w:r>
      <w:r>
        <w:rPr>
          <w:rFonts w:ascii="Times New Roman" w:hAnsi="Times New Roman" w:cs="Times New Roman"/>
          <w:color w:val="000000"/>
          <w:spacing w:val="0"/>
          <w:w w:val="117"/>
          <w:sz w:val="18"/>
          <w:szCs w:val="18"/>
        </w:rPr>
        <w:t xml:space="preserve">under the provisions of the Biological Diversity Act, 2002. Any person aggrieved by </w:t>
      </w:r>
      <w:r>
        <w:rPr>
          <w:rFonts w:ascii="Times New Roman" w:hAnsi="Times New Roman" w:cs="Times New Roman"/>
          <w:color w:val="000000"/>
          <w:spacing w:val="0"/>
          <w:w w:val="126"/>
          <w:sz w:val="18"/>
          <w:szCs w:val="18"/>
        </w:rPr>
        <w:t xml:space="preserve">an order under the aforesaid provisions can file an appeal before the National </w:t>
      </w: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Green Tribunal within a period of thirty days from the date on which the order or </w:t>
      </w: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decision or direction or determination is communicated to him. Against the order </w:t>
      </w: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of Green Tribunal an appeal can be filed only in the Supreme Court under section</w:t>
      </w:r>
    </w:p>
    <w:p>
      <w:pPr>
        <w:spacing w:before="0" w:after="0" w:line="200" w:lineRule="exact"/>
        <w:ind w:left="811" w:right="1572"/>
        <w:jc w:val="both"/>
      </w:pP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22 of the National Green Tribunal Act, 2010. The jurisdiction of High Courts over </w:t>
      </w: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the Green Tribunal has been excluded under the 2010 Act.</w:t>
      </w:r>
    </w:p>
    <w:p>
      <w:pPr>
        <w:spacing w:before="0" w:after="0" w:line="207" w:lineRule="exact"/>
        <w:ind w:left="3859"/>
        <w:rPr>
          <w:sz w:val="24"/>
          <w:szCs w:val="24"/>
        </w:rPr>
      </w:pPr>
    </w:p>
    <w:p>
      <w:pPr>
        <w:spacing w:before="108" w:after="0" w:line="207" w:lineRule="exact"/>
        <w:ind w:left="3859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REFERENCES</w:t>
      </w:r>
    </w:p>
    <w:p>
      <w:pPr>
        <w:spacing w:before="0" w:after="0" w:line="184" w:lineRule="exact"/>
        <w:ind w:left="1108"/>
        <w:rPr>
          <w:sz w:val="24"/>
          <w:szCs w:val="24"/>
        </w:rPr>
      </w:pPr>
    </w:p>
    <w:p>
      <w:pPr>
        <w:spacing w:before="8" w:after="0" w:line="184" w:lineRule="exact"/>
        <w:ind w:left="1108"/>
      </w:pPr>
      <w:r>
        <w:rPr>
          <w:rFonts w:ascii="Times New Roman" w:hAnsi="Times New Roman" w:cs="Times New Roman"/>
          <w:color w:val="000000"/>
          <w:spacing w:val="0"/>
          <w:w w:val="113"/>
          <w:sz w:val="16"/>
          <w:szCs w:val="16"/>
        </w:rPr>
        <w:t xml:space="preserve">1. For a list of High Courts, their seat and territorial jurisdiction, see Table XVII.</w:t>
      </w:r>
    </w:p>
    <w:p>
      <w:pPr>
        <w:tabs>
          <w:tab w:val="left" w:pos="2889"/>
        </w:tabs>
        <w:spacing w:before="0" w:after="0" w:line="200" w:lineRule="exact"/>
        <w:ind w:left="1099" w:right="1592"/>
        <w:jc w:val="both"/>
      </w:pPr>
      <w:r>
        <w:rPr>
          <w:rFonts w:ascii="Times New Roman" w:hAnsi="Times New Roman" w:cs="Times New Roman"/>
          <w:color w:val="000000"/>
          <w:spacing w:val="0"/>
          <w:w w:val="116"/>
          <w:sz w:val="16"/>
          <w:szCs w:val="16"/>
        </w:rPr>
        <w:t xml:space="preserve">2. By the Constitution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21"/>
          <w:sz w:val="16"/>
          <w:szCs w:val="16"/>
        </w:rPr>
        <w:t xml:space="preserve">(15th Amendment) Act, 1963, the age of retirement of high court </w:t>
      </w:r>
      <w:r>
        <w:rPr>
          <w:rFonts w:ascii="Times New Roman" w:hAnsi="Times New Roman" w:cs="Times New Roman"/>
          <w:color w:val="000000"/>
          <w:spacing w:val="0"/>
          <w:w w:val="114"/>
          <w:sz w:val="16"/>
          <w:szCs w:val="16"/>
        </w:rPr>
        <w:t xml:space="preserve">judges has been raised from 60 to 62.</w:t>
      </w:r>
    </w:p>
    <w:p>
      <w:pPr>
        <w:spacing w:before="1" w:after="0" w:line="155" w:lineRule="exact"/>
        <w:ind w:left="1099"/>
      </w:pPr>
      <w:r>
        <w:rPr>
          <w:rFonts w:ascii="Times New Roman" w:hAnsi="Times New Roman" w:cs="Times New Roman"/>
          <w:color w:val="000000"/>
          <w:spacing w:val="0"/>
          <w:w w:val="111"/>
          <w:sz w:val="16"/>
          <w:szCs w:val="16"/>
        </w:rPr>
        <w:t xml:space="preserve">3. </w:t>
      </w:r>
      <w:r>
        <w:rPr>
          <w:rFonts w:ascii="Times New Roman" w:hAnsi="Times New Roman" w:cs="Times New Roman"/>
          <w:i/>
          <w:color w:val="000000"/>
          <w:spacing w:val="0"/>
          <w:w w:val="111"/>
          <w:sz w:val="14"/>
          <w:szCs w:val="14"/>
        </w:rPr>
        <w:t xml:space="preserve">Supreme Court Advocates-on-Record Association v UOI, </w:t>
      </w:r>
      <w:r>
        <w:rPr>
          <w:rFonts w:ascii="Times New Roman" w:hAnsi="Times New Roman" w:cs="Times New Roman"/>
          <w:color w:val="000000"/>
          <w:spacing w:val="0"/>
          <w:w w:val="111"/>
          <w:sz w:val="16"/>
          <w:szCs w:val="16"/>
        </w:rPr>
        <w:t xml:space="preserve">AIR 1994 SC 268: (1993) 4 SCC 441.</w:t>
      </w:r>
    </w:p>
    <w:p>
      <w:pPr>
        <w:tabs>
          <w:tab w:val="left" w:pos="3139"/>
          <w:tab w:val="left" w:pos="4435"/>
          <w:tab w:val="left" w:pos="5203"/>
          <w:tab w:val="left" w:pos="5385"/>
          <w:tab w:val="left" w:pos="5548"/>
          <w:tab w:val="left" w:pos="6139"/>
          <w:tab w:val="left" w:pos="7142"/>
        </w:tabs>
        <w:spacing w:before="11" w:after="0" w:line="184" w:lineRule="exact"/>
        <w:ind w:left="1094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19"/>
          <w:sz w:val="16"/>
          <w:szCs w:val="16"/>
        </w:rPr>
        <w:t xml:space="preserve">4. </w:t>
      </w:r>
      <w:r>
        <w:rPr>
          <w:rFonts w:ascii="Times New Roman" w:hAnsi="Times New Roman" w:cs="Times New Roman"/>
          <w:i/>
          <w:color w:val="000000"/>
          <w:spacing w:val="0"/>
          <w:w w:val="119"/>
          <w:sz w:val="14"/>
          <w:szCs w:val="14"/>
        </w:rPr>
        <w:t xml:space="preserve">Re Special Reference No</w:t>
      </w:r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i/>
          <w:color w:val="000000"/>
          <w:spacing w:val="0"/>
          <w:w w:val="119"/>
          <w:sz w:val="14"/>
          <w:szCs w:val="14"/>
        </w:rPr>
        <w:t xml:space="preserve">1  of 1998, </w:t>
      </w:r>
      <w:r>
        <w:rPr>
          <w:rFonts w:ascii="Times New Roman" w:hAnsi="Times New Roman" w:cs="Times New Roman"/>
          <w:color w:val="000000"/>
          <w:spacing w:val="0"/>
          <w:w w:val="119"/>
          <w:sz w:val="16"/>
          <w:szCs w:val="16"/>
        </w:rPr>
        <w:t xml:space="preserve">AIR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4"/>
          <w:sz w:val="16"/>
          <w:szCs w:val="16"/>
        </w:rPr>
        <w:t xml:space="preserve">1999 SC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9"/>
          <w:sz w:val="16"/>
          <w:szCs w:val="16"/>
        </w:rPr>
        <w:t xml:space="preserve">1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9"/>
          <w:sz w:val="16"/>
          <w:szCs w:val="16"/>
        </w:rPr>
        <w:t xml:space="preserve">: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05"/>
          <w:sz w:val="16"/>
          <w:szCs w:val="16"/>
        </w:rPr>
        <w:t xml:space="preserve">(1998)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9"/>
          <w:sz w:val="16"/>
          <w:szCs w:val="16"/>
        </w:rPr>
        <w:t xml:space="preserve">7 SCC 739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9"/>
          <w:sz w:val="16"/>
          <w:szCs w:val="16"/>
        </w:rPr>
        <w:t xml:space="preserve">[nine 'judge</w:t>
      </w:r>
    </w:p>
    <w:p>
      <w:pPr>
        <w:spacing w:before="1" w:after="0" w:line="168" w:lineRule="exact"/>
        <w:ind w:left="1286"/>
      </w:pPr>
      <w:r>
        <w:rPr>
          <w:rFonts w:ascii="Times New Roman" w:hAnsi="Times New Roman" w:cs="Times New Roman"/>
          <w:color w:val="000000"/>
          <w:spacing w:val="0"/>
          <w:w w:val="114"/>
          <w:sz w:val="16"/>
          <w:szCs w:val="16"/>
        </w:rPr>
        <w:t xml:space="preserve">Bench].</w:t>
      </w:r>
    </w:p>
    <w:p>
      <w:pPr>
        <w:spacing w:before="19" w:after="0" w:line="184" w:lineRule="exact"/>
        <w:ind w:left="979"/>
      </w:pPr>
      <w:r>
        <w:rPr>
          <w:rFonts w:ascii="Times New Roman" w:hAnsi="Times New Roman" w:cs="Times New Roman"/>
          <w:color w:val="000000"/>
          <w:spacing w:val="0"/>
          <w:w w:val="116"/>
          <w:sz w:val="16"/>
          <w:szCs w:val="16"/>
        </w:rPr>
        <w:t xml:space="preserve">4k </w:t>
      </w:r>
      <w:r>
        <w:rPr>
          <w:rFonts w:ascii="Times New Roman" w:hAnsi="Times New Roman" w:cs="Times New Roman"/>
          <w:i/>
          <w:color w:val="000000"/>
          <w:spacing w:val="0"/>
          <w:w w:val="116"/>
          <w:sz w:val="14"/>
          <w:szCs w:val="14"/>
        </w:rPr>
        <w:t xml:space="preserve">Shanti Bhushan v UOI, </w:t>
      </w:r>
      <w:r>
        <w:rPr>
          <w:rFonts w:ascii="Times New Roman" w:hAnsi="Times New Roman" w:cs="Times New Roman"/>
          <w:color w:val="000000"/>
          <w:spacing w:val="0"/>
          <w:w w:val="116"/>
          <w:sz w:val="16"/>
          <w:szCs w:val="16"/>
        </w:rPr>
        <w:t xml:space="preserve">(2009) 1 SCC 657, pp 675, 676: [2009] 3 Mad LJ 144.</w:t>
      </w:r>
    </w:p>
    <w:p>
      <w:pPr>
        <w:tabs>
          <w:tab w:val="left" w:pos="1286"/>
        </w:tabs>
        <w:spacing w:before="0" w:after="0" w:line="180" w:lineRule="exact"/>
        <w:ind w:left="984" w:right="1602"/>
        <w:jc w:val="both"/>
      </w:pPr>
      <w:r>
        <w:rPr>
          <w:rFonts w:ascii="Times New Roman" w:hAnsi="Times New Roman" w:cs="Times New Roman"/>
          <w:color w:val="000000"/>
          <w:spacing w:val="0"/>
          <w:w w:val="112"/>
          <w:sz w:val="16"/>
          <w:szCs w:val="16"/>
        </w:rPr>
        <w:t xml:space="preserve">4B. The Constitutional (Ninety Ninth Amendment) Act, 2014 (w.e.f. 13-4-2015) which was held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1"/>
          <w:sz w:val="16"/>
          <w:szCs w:val="16"/>
        </w:rPr>
        <w:t xml:space="preserve">invalid by the Supreme Court.</w:t>
      </w:r>
    </w:p>
    <w:p>
      <w:pPr>
        <w:tabs>
          <w:tab w:val="left" w:pos="1281"/>
        </w:tabs>
        <w:spacing w:before="20" w:after="0" w:line="180" w:lineRule="exact"/>
        <w:ind w:left="974" w:right="1602"/>
        <w:jc w:val="both"/>
      </w:pP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4C. The National Judicial Appointment Commission Act, 2014 (w.e.f. 13-4-2015) which was held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invalid by the Supreme Court.</w:t>
      </w:r>
    </w:p>
    <w:p>
      <w:pPr>
        <w:tabs>
          <w:tab w:val="left" w:pos="1281"/>
          <w:tab w:val="left" w:pos="1271"/>
        </w:tabs>
        <w:spacing w:before="0" w:after="0" w:line="190" w:lineRule="exact"/>
        <w:ind w:left="1089" w:right="1602"/>
        <w:jc w:val="both"/>
      </w:pPr>
      <w:r>
        <w:rPr>
          <w:rFonts w:ascii="Times New Roman" w:hAnsi="Times New Roman" w:cs="Times New Roman"/>
          <w:color w:val="000000"/>
          <w:spacing w:val="0"/>
          <w:w w:val="115"/>
          <w:sz w:val="16"/>
          <w:szCs w:val="16"/>
        </w:rPr>
        <w:t xml:space="preserve">5. The salaries of ChiefJustice and other judges of the high courts has been enhanced </w:t>
      </w:r>
      <w:r>
        <w:rPr>
          <w:rFonts w:ascii="Times New Roman" w:hAnsi="Times New Roman" w:cs="Times New Roman"/>
          <w:i/>
          <w:color w:val="000000"/>
          <w:spacing w:val="0"/>
          <w:w w:val="115"/>
          <w:sz w:val="14"/>
          <w:szCs w:val="14"/>
        </w:rPr>
        <w:t xml:space="preserve">vide </w:t>
      </w:r>
      <w:r>
        <w:rPr>
          <w:rFonts w:ascii="Times New Roman" w:hAnsi="Times New Roman" w:cs="Times New Roman"/>
          <w:color w:val="000000"/>
          <w:spacing w:val="0"/>
          <w:w w:val="115"/>
          <w:sz w:val="16"/>
          <w:szCs w:val="16"/>
        </w:rPr>
        <w:t xml:space="preserve">the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7"/>
          <w:sz w:val="16"/>
          <w:szCs w:val="16"/>
        </w:rPr>
        <w:t xml:space="preserve">High Court and Supreme Court Judges (Salaries and Conditions of Service) Amendment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08"/>
          <w:sz w:val="16"/>
          <w:szCs w:val="16"/>
        </w:rPr>
        <w:t xml:space="preserve">Act, 2018 (10 of 2018) (w.r.e.f. 1-1-2016).</w:t>
      </w:r>
    </w:p>
    <w:p>
      <w:pPr>
        <w:spacing w:before="1" w:after="0" w:line="168" w:lineRule="exact"/>
        <w:ind w:left="1094"/>
      </w:pPr>
      <w:r>
        <w:rPr>
          <w:rFonts w:ascii="Times New Roman" w:hAnsi="Times New Roman" w:cs="Times New Roman"/>
          <w:color w:val="000000"/>
          <w:spacing w:val="0"/>
          <w:w w:val="111"/>
          <w:sz w:val="16"/>
          <w:szCs w:val="16"/>
        </w:rPr>
        <w:t xml:space="preserve">6. </w:t>
      </w:r>
      <w:r>
        <w:rPr>
          <w:rFonts w:ascii="Times New Roman" w:hAnsi="Times New Roman" w:cs="Times New Roman"/>
          <w:i/>
          <w:color w:val="000000"/>
          <w:spacing w:val="0"/>
          <w:w w:val="111"/>
          <w:sz w:val="14"/>
          <w:szCs w:val="14"/>
        </w:rPr>
        <w:t xml:space="preserve">Constituent Assembly Debates, </w:t>
      </w:r>
      <w:r>
        <w:rPr>
          <w:rFonts w:ascii="Times New Roman" w:hAnsi="Times New Roman" w:cs="Times New Roman"/>
          <w:color w:val="000000"/>
          <w:spacing w:val="0"/>
          <w:w w:val="111"/>
          <w:sz w:val="16"/>
          <w:szCs w:val="16"/>
        </w:rPr>
        <w:t xml:space="preserve">dated 22 November 1948.</w:t>
      </w:r>
    </w:p>
    <w:p>
      <w:pPr>
        <w:spacing w:before="19" w:after="0" w:line="184" w:lineRule="exact"/>
        <w:ind w:left="1094"/>
      </w:pPr>
      <w:r>
        <w:rPr>
          <w:rFonts w:ascii="Times New Roman" w:hAnsi="Times New Roman" w:cs="Times New Roman"/>
          <w:color w:val="000000"/>
          <w:spacing w:val="0"/>
          <w:w w:val="112"/>
          <w:sz w:val="18"/>
          <w:szCs w:val="18"/>
        </w:rPr>
        <w:t xml:space="preserve">7. </w:t>
      </w:r>
      <w:r>
        <w:rPr>
          <w:rFonts w:ascii="Times New Roman" w:hAnsi="Times New Roman" w:cs="Times New Roman"/>
          <w:i/>
          <w:color w:val="000000"/>
          <w:spacing w:val="0"/>
          <w:w w:val="112"/>
          <w:sz w:val="16"/>
          <w:szCs w:val="16"/>
        </w:rPr>
        <w:t xml:space="preserve">S P </w:t>
      </w:r>
      <w:r>
        <w:rPr>
          <w:rFonts w:ascii="Times New Roman" w:hAnsi="Times New Roman" w:cs="Times New Roman"/>
          <w:i/>
          <w:color w:val="000000"/>
          <w:spacing w:val="0"/>
          <w:w w:val="112"/>
          <w:sz w:val="14"/>
          <w:szCs w:val="14"/>
        </w:rPr>
        <w:t xml:space="preserve">Gupta v President of India, </w:t>
      </w:r>
      <w:r>
        <w:rPr>
          <w:rFonts w:ascii="Times New Roman" w:hAnsi="Times New Roman" w:cs="Times New Roman"/>
          <w:color w:val="000000"/>
          <w:spacing w:val="0"/>
          <w:w w:val="112"/>
          <w:sz w:val="16"/>
          <w:szCs w:val="16"/>
        </w:rPr>
        <w:t xml:space="preserve">AIR 1982 SC 149 (seven-judge Bench).</w:t>
      </w:r>
    </w:p>
    <w:p>
      <w:pPr>
        <w:spacing w:before="1" w:after="0" w:line="179" w:lineRule="exact"/>
        <w:ind w:left="1089"/>
      </w:pPr>
      <w:r>
        <w:rPr>
          <w:rFonts w:ascii="Times New Roman" w:hAnsi="Times New Roman" w:cs="Times New Roman"/>
          <w:color w:val="000000"/>
          <w:spacing w:val="0"/>
          <w:w w:val="111"/>
          <w:sz w:val="16"/>
          <w:szCs w:val="16"/>
        </w:rPr>
        <w:t xml:space="preserve">8. </w:t>
      </w:r>
      <w:r>
        <w:rPr>
          <w:rFonts w:ascii="Times New Roman" w:hAnsi="Times New Roman" w:cs="Times New Roman"/>
          <w:i/>
          <w:color w:val="000000"/>
          <w:spacing w:val="0"/>
          <w:w w:val="111"/>
          <w:sz w:val="14"/>
          <w:szCs w:val="14"/>
        </w:rPr>
        <w:t xml:space="preserve">Re Special Reference No 1 of 1998, </w:t>
      </w:r>
      <w:r>
        <w:rPr>
          <w:rFonts w:ascii="Times New Roman" w:hAnsi="Times New Roman" w:cs="Times New Roman"/>
          <w:color w:val="000000"/>
          <w:spacing w:val="0"/>
          <w:w w:val="111"/>
          <w:sz w:val="16"/>
          <w:szCs w:val="16"/>
        </w:rPr>
        <w:t xml:space="preserve">(1998) 7 SCC 739.</w:t>
      </w:r>
    </w:p>
    <w:p>
      <w:pPr>
        <w:tabs>
          <w:tab w:val="left" w:pos="1281"/>
        </w:tabs>
        <w:spacing w:before="1" w:after="0" w:line="180" w:lineRule="exact"/>
        <w:ind w:left="1084" w:right="1603"/>
        <w:jc w:val="both"/>
      </w:pPr>
      <w:r>
        <w:rPr>
          <w:rFonts w:ascii="Times New Roman" w:hAnsi="Times New Roman" w:cs="Times New Roman"/>
          <w:color w:val="000000"/>
          <w:spacing w:val="0"/>
          <w:w w:val="114"/>
          <w:sz w:val="16"/>
          <w:szCs w:val="16"/>
        </w:rPr>
        <w:t xml:space="preserve">9. </w:t>
      </w:r>
      <w:r>
        <w:rPr>
          <w:rFonts w:ascii="Times New Roman" w:hAnsi="Times New Roman" w:cs="Times New Roman"/>
          <w:color w:val="000000"/>
          <w:spacing w:val="0"/>
          <w:w w:val="114"/>
          <w:sz w:val="18"/>
          <w:szCs w:val="18"/>
        </w:rPr>
        <w:t xml:space="preserve">In </w:t>
      </w:r>
      <w:r>
        <w:rPr>
          <w:rFonts w:ascii="Times New Roman" w:hAnsi="Times New Roman" w:cs="Times New Roman"/>
          <w:color w:val="000000"/>
          <w:spacing w:val="0"/>
          <w:w w:val="114"/>
          <w:sz w:val="16"/>
          <w:szCs w:val="16"/>
        </w:rPr>
        <w:t xml:space="preserve">this context, see </w:t>
      </w:r>
      <w:r>
        <w:rPr>
          <w:rFonts w:ascii="Times New Roman" w:hAnsi="Times New Roman" w:cs="Times New Roman"/>
          <w:i/>
          <w:color w:val="000000"/>
          <w:spacing w:val="0"/>
          <w:w w:val="114"/>
          <w:sz w:val="16"/>
          <w:szCs w:val="16"/>
        </w:rPr>
        <w:t xml:space="preserve">UOI </w:t>
      </w:r>
      <w:r>
        <w:rPr>
          <w:rFonts w:ascii="Times New Roman" w:hAnsi="Times New Roman" w:cs="Times New Roman"/>
          <w:i/>
          <w:color w:val="000000"/>
          <w:spacing w:val="0"/>
          <w:w w:val="114"/>
          <w:sz w:val="14"/>
          <w:szCs w:val="14"/>
        </w:rPr>
        <w:t xml:space="preserve">v Jyoti Prakash, </w:t>
      </w:r>
      <w:r>
        <w:rPr>
          <w:rFonts w:ascii="Times New Roman" w:hAnsi="Times New Roman" w:cs="Times New Roman"/>
          <w:color w:val="000000"/>
          <w:spacing w:val="0"/>
          <w:w w:val="114"/>
          <w:sz w:val="16"/>
          <w:szCs w:val="16"/>
        </w:rPr>
        <w:t xml:space="preserve">AIR 1971 SC 1093, and the comments of the author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4"/>
          <w:sz w:val="16"/>
          <w:szCs w:val="16"/>
        </w:rPr>
        <w:t xml:space="preserve">thereon, Author's </w:t>
      </w:r>
      <w:r>
        <w:rPr>
          <w:rFonts w:ascii="Times New Roman" w:hAnsi="Times New Roman" w:cs="Times New Roman"/>
          <w:i/>
          <w:color w:val="000000"/>
          <w:spacing w:val="0"/>
          <w:w w:val="114"/>
          <w:sz w:val="14"/>
          <w:szCs w:val="14"/>
        </w:rPr>
        <w:t xml:space="preserve">Commentary on the Constitution of India, </w:t>
      </w:r>
      <w:r>
        <w:rPr>
          <w:rFonts w:ascii="Times New Roman" w:hAnsi="Times New Roman" w:cs="Times New Roman"/>
          <w:color w:val="000000"/>
          <w:spacing w:val="0"/>
          <w:w w:val="114"/>
          <w:sz w:val="16"/>
          <w:szCs w:val="16"/>
        </w:rPr>
        <w:t xml:space="preserve">6th edn, vol G, pp 246ff.</w:t>
      </w:r>
    </w:p>
    <w:p>
      <w:pPr>
        <w:spacing w:before="17" w:after="0" w:line="184" w:lineRule="exact"/>
        <w:ind w:left="1008"/>
      </w:pPr>
      <w:r>
        <w:rPr>
          <w:rFonts w:ascii="Times New Roman" w:hAnsi="Times New Roman" w:cs="Times New Roman"/>
          <w:color w:val="000000"/>
          <w:spacing w:val="0"/>
          <w:w w:val="111"/>
          <w:sz w:val="16"/>
          <w:szCs w:val="16"/>
        </w:rPr>
        <w:t xml:space="preserve">10. </w:t>
      </w:r>
      <w:r>
        <w:rPr>
          <w:rFonts w:ascii="Times New Roman" w:hAnsi="Times New Roman" w:cs="Times New Roman"/>
          <w:i/>
          <w:color w:val="000000"/>
          <w:spacing w:val="0"/>
          <w:w w:val="111"/>
          <w:sz w:val="14"/>
          <w:szCs w:val="14"/>
        </w:rPr>
        <w:t xml:space="preserve">Statesman, </w:t>
      </w:r>
      <w:r>
        <w:rPr>
          <w:rFonts w:ascii="Times New Roman" w:hAnsi="Times New Roman" w:cs="Times New Roman"/>
          <w:color w:val="000000"/>
          <w:spacing w:val="0"/>
          <w:w w:val="111"/>
          <w:sz w:val="16"/>
          <w:szCs w:val="16"/>
        </w:rPr>
        <w:t xml:space="preserve">Calcutta, 14 April 1994, 16 April 1994, p 5.</w:t>
      </w:r>
    </w:p>
    <w:p>
      <w:pPr>
        <w:spacing w:before="1" w:after="0" w:line="179" w:lineRule="exact"/>
        <w:ind w:left="1003"/>
      </w:pPr>
      <w:r>
        <w:rPr>
          <w:rFonts w:ascii="Times New Roman" w:hAnsi="Times New Roman" w:cs="Times New Roman"/>
          <w:color w:val="000000"/>
          <w:spacing w:val="0"/>
          <w:w w:val="111"/>
          <w:sz w:val="16"/>
          <w:szCs w:val="16"/>
        </w:rPr>
        <w:t xml:space="preserve">11. </w:t>
      </w:r>
      <w:r>
        <w:rPr>
          <w:rFonts w:ascii="Times New Roman" w:hAnsi="Times New Roman" w:cs="Times New Roman"/>
          <w:i/>
          <w:color w:val="000000"/>
          <w:spacing w:val="0"/>
          <w:w w:val="111"/>
          <w:sz w:val="14"/>
          <w:szCs w:val="14"/>
        </w:rPr>
        <w:t xml:space="preserve">SC Advocates v UOI, </w:t>
      </w:r>
      <w:r>
        <w:rPr>
          <w:rFonts w:ascii="Times New Roman" w:hAnsi="Times New Roman" w:cs="Times New Roman"/>
          <w:color w:val="000000"/>
          <w:spacing w:val="0"/>
          <w:w w:val="111"/>
          <w:sz w:val="16"/>
          <w:szCs w:val="16"/>
        </w:rPr>
        <w:t xml:space="preserve">AIR 1994 SC 268 : (1993) 4 SCC 441, para 472, — nine-judge Bench.</w:t>
      </w:r>
    </w:p>
    <w:p>
      <w:pPr>
        <w:tabs>
          <w:tab w:val="left" w:pos="1271"/>
          <w:tab w:val="left" w:pos="1286"/>
        </w:tabs>
        <w:spacing w:before="0" w:after="0" w:line="190" w:lineRule="exact"/>
        <w:ind w:left="1008" w:right="1612"/>
        <w:jc w:val="left"/>
      </w:pP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12. See Table XVII as to the territorial jurisdiction of the several high courts. Delhi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3"/>
          <w:sz w:val="16"/>
          <w:szCs w:val="16"/>
        </w:rPr>
        <w:t xml:space="preserve">which was under the jurisdiction of the Punjab High Court has now its own high court since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02"/>
          <w:sz w:val="16"/>
          <w:szCs w:val="16"/>
        </w:rPr>
        <w:t xml:space="preserve">1996.</w:t>
      </w:r>
    </w:p>
    <w:p>
      <w:pPr>
        <w:spacing w:before="1" w:after="0" w:line="168" w:lineRule="exact"/>
        <w:ind w:left="1003"/>
      </w:pPr>
      <w:r>
        <w:rPr>
          <w:rFonts w:ascii="Times New Roman" w:hAnsi="Times New Roman" w:cs="Times New Roman"/>
          <w:color w:val="000000"/>
          <w:spacing w:val="0"/>
          <w:w w:val="114"/>
          <w:sz w:val="16"/>
          <w:szCs w:val="16"/>
        </w:rPr>
        <w:t xml:space="preserve">13. </w:t>
      </w:r>
      <w:r>
        <w:rPr>
          <w:rFonts w:ascii="Times New Roman" w:hAnsi="Times New Roman" w:cs="Times New Roman"/>
          <w:i/>
          <w:color w:val="000000"/>
          <w:spacing w:val="0"/>
          <w:w w:val="114"/>
          <w:sz w:val="14"/>
          <w:szCs w:val="14"/>
        </w:rPr>
        <w:t xml:space="preserve">Basu's Criminal Procedure Code, </w:t>
      </w:r>
      <w:r>
        <w:rPr>
          <w:rFonts w:ascii="Times New Roman" w:hAnsi="Times New Roman" w:cs="Times New Roman"/>
          <w:color w:val="000000"/>
          <w:spacing w:val="0"/>
          <w:w w:val="114"/>
          <w:sz w:val="16"/>
          <w:szCs w:val="16"/>
        </w:rPr>
        <w:t xml:space="preserve">Prentice-Hall of India, 1979, p 29.</w:t>
      </w:r>
    </w:p>
    <w:p>
      <w:pPr>
        <w:tabs>
          <w:tab w:val="left" w:pos="1291"/>
        </w:tabs>
        <w:spacing w:before="23" w:after="0" w:line="180" w:lineRule="exact"/>
        <w:ind w:left="1008" w:right="1597"/>
        <w:jc w:val="both"/>
      </w:pPr>
      <w:r>
        <w:rPr>
          <w:rFonts w:ascii="Times New Roman" w:hAnsi="Times New Roman" w:cs="Times New Roman"/>
          <w:color w:val="000000"/>
          <w:spacing w:val="0"/>
          <w:w w:val="112"/>
          <w:sz w:val="16"/>
          <w:szCs w:val="16"/>
        </w:rPr>
        <w:t xml:space="preserve">14. </w:t>
      </w:r>
      <w:r>
        <w:rPr>
          <w:rFonts w:ascii="Times New Roman" w:hAnsi="Times New Roman" w:cs="Times New Roman"/>
          <w:i/>
          <w:color w:val="000000"/>
          <w:spacing w:val="0"/>
          <w:w w:val="112"/>
          <w:sz w:val="14"/>
          <w:szCs w:val="14"/>
        </w:rPr>
        <w:t xml:space="preserve">Puran Ram v Bhaguram, </w:t>
      </w:r>
      <w:r>
        <w:rPr>
          <w:rFonts w:ascii="Times New Roman" w:hAnsi="Times New Roman" w:cs="Times New Roman"/>
          <w:color w:val="000000"/>
          <w:spacing w:val="0"/>
          <w:w w:val="112"/>
          <w:sz w:val="16"/>
          <w:szCs w:val="16"/>
        </w:rPr>
        <w:t xml:space="preserve">AIR 2008 SC 1960: (2008) 4 SCC 102, p 109; see also </w:t>
      </w:r>
      <w:r>
        <w:rPr>
          <w:rFonts w:ascii="Times New Roman" w:hAnsi="Times New Roman" w:cs="Times New Roman"/>
          <w:i/>
          <w:color w:val="000000"/>
          <w:spacing w:val="0"/>
          <w:w w:val="112"/>
          <w:sz w:val="14"/>
          <w:szCs w:val="14"/>
        </w:rPr>
        <w:t xml:space="preserve">TS Ashok v Alex </w:t>
      </w:r>
      <w:br/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i/>
          <w:color w:val="000000"/>
          <w:spacing w:val="0"/>
          <w:w w:val="111"/>
          <w:sz w:val="14"/>
          <w:szCs w:val="14"/>
        </w:rPr>
        <w:t xml:space="preserve">Thompson, </w:t>
      </w:r>
      <w:r>
        <w:rPr>
          <w:rFonts w:ascii="Times New Roman" w:hAnsi="Times New Roman" w:cs="Times New Roman"/>
          <w:color w:val="000000"/>
          <w:spacing w:val="0"/>
          <w:w w:val="111"/>
          <w:sz w:val="16"/>
          <w:szCs w:val="16"/>
        </w:rPr>
        <w:t xml:space="preserve">(2011) 2 Ker LT 1037 (includes judicial superintendence).</w:t>
      </w:r>
    </w:p>
    <w:p>
      <w:pPr>
        <w:tabs>
          <w:tab w:val="left" w:pos="1276"/>
        </w:tabs>
        <w:spacing w:before="20" w:after="0" w:line="180" w:lineRule="exact"/>
        <w:ind w:left="883" w:right="1616"/>
        <w:jc w:val="both"/>
      </w:pPr>
      <w:r>
        <w:rPr>
          <w:rFonts w:ascii="Times New Roman" w:hAnsi="Times New Roman" w:cs="Times New Roman"/>
          <w:color w:val="000000"/>
          <w:spacing w:val="0"/>
          <w:w w:val="118"/>
          <w:sz w:val="16"/>
          <w:szCs w:val="16"/>
        </w:rPr>
        <w:t xml:space="preserve">14A. </w:t>
      </w:r>
      <w:r>
        <w:rPr>
          <w:rFonts w:ascii="Times New Roman" w:hAnsi="Times New Roman" w:cs="Times New Roman"/>
          <w:i/>
          <w:color w:val="000000"/>
          <w:spacing w:val="0"/>
          <w:w w:val="118"/>
          <w:sz w:val="14"/>
          <w:szCs w:val="14"/>
        </w:rPr>
        <w:t xml:space="preserve">Rajendra Diwan v Pradeep Kumar Ranibala, </w:t>
      </w:r>
      <w:r>
        <w:rPr>
          <w:rFonts w:ascii="Times New Roman" w:hAnsi="Times New Roman" w:cs="Times New Roman"/>
          <w:color w:val="000000"/>
          <w:spacing w:val="0"/>
          <w:w w:val="118"/>
          <w:sz w:val="16"/>
          <w:szCs w:val="16"/>
        </w:rPr>
        <w:t xml:space="preserve">AIR Online 2019 SC 1711: (2019) SCC OnLine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06"/>
          <w:sz w:val="16"/>
          <w:szCs w:val="16"/>
        </w:rPr>
        <w:t xml:space="preserve">SC 1586 : LNIND 2019 SC 991.</w:t>
      </w:r>
    </w:p>
    <w:p>
      <w:pPr>
        <w:tabs>
          <w:tab w:val="left" w:pos="1276"/>
          <w:tab w:val="left" w:pos="1267"/>
          <w:tab w:val="left" w:pos="1271"/>
          <w:tab w:val="left" w:pos="1276"/>
          <w:tab w:val="left" w:pos="1271"/>
          <w:tab w:val="left" w:pos="1271"/>
        </w:tabs>
        <w:spacing w:before="0" w:after="0" w:line="186" w:lineRule="exact"/>
        <w:ind w:left="1003" w:right="1597"/>
        <w:jc w:val="left"/>
      </w:pPr>
      <w:r>
        <w:rPr>
          <w:rFonts w:ascii="Times New Roman" w:hAnsi="Times New Roman" w:cs="Times New Roman"/>
          <w:color w:val="000000"/>
          <w:spacing w:val="0"/>
          <w:w w:val="117"/>
          <w:sz w:val="16"/>
          <w:szCs w:val="16"/>
        </w:rPr>
        <w:t xml:space="preserve">15. The 42nd Amendment Act, 1976, also took away this jurisdiction of the high courts over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8"/>
          <w:sz w:val="16"/>
          <w:szCs w:val="16"/>
        </w:rPr>
        <w:t xml:space="preserve">tribunals, under Article 227(1), by omitting the word "tribunals" therefrom; but the 44th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23"/>
          <w:sz w:val="16"/>
          <w:szCs w:val="16"/>
        </w:rPr>
        <w:t xml:space="preserve">Amendment Act, 1978, has </w:t>
      </w:r>
      <w:r>
        <w:rPr>
          <w:rFonts w:ascii="Times New Roman" w:hAnsi="Times New Roman" w:cs="Times New Roman"/>
          <w:i/>
          <w:color w:val="000000"/>
          <w:spacing w:val="0"/>
          <w:w w:val="123"/>
          <w:sz w:val="14"/>
          <w:szCs w:val="14"/>
        </w:rPr>
        <w:t xml:space="preserve">restored </w:t>
      </w:r>
      <w:r>
        <w:rPr>
          <w:rFonts w:ascii="Times New Roman" w:hAnsi="Times New Roman" w:cs="Times New Roman"/>
          <w:color w:val="000000"/>
          <w:spacing w:val="0"/>
          <w:w w:val="123"/>
          <w:sz w:val="16"/>
          <w:szCs w:val="16"/>
        </w:rPr>
        <w:t xml:space="preserve">the word, so that a high court retains its power of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5"/>
          <w:sz w:val="16"/>
          <w:szCs w:val="16"/>
        </w:rPr>
        <w:t xml:space="preserve">superintendence over any tribunal within its territorial jurisdiction. This jurisdiction of the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2"/>
          <w:sz w:val="16"/>
          <w:szCs w:val="16"/>
        </w:rPr>
        <w:t xml:space="preserve">high court was taken away in respect of Administrative Tribunals </w:t>
      </w:r>
      <w:r>
        <w:rPr>
          <w:rFonts w:ascii="Times New Roman" w:hAnsi="Times New Roman" w:cs="Times New Roman"/>
          <w:i/>
          <w:color w:val="000000"/>
          <w:spacing w:val="0"/>
          <w:w w:val="112"/>
          <w:sz w:val="14"/>
          <w:szCs w:val="14"/>
        </w:rPr>
        <w:t xml:space="preserve">set </w:t>
      </w:r>
      <w:r>
        <w:rPr>
          <w:rFonts w:ascii="Times New Roman" w:hAnsi="Times New Roman" w:cs="Times New Roman"/>
          <w:color w:val="000000"/>
          <w:spacing w:val="0"/>
          <w:w w:val="112"/>
          <w:sz w:val="16"/>
          <w:szCs w:val="16"/>
        </w:rPr>
        <w:t xml:space="preserve">up under Article 323A,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8"/>
          <w:sz w:val="16"/>
          <w:szCs w:val="16"/>
        </w:rPr>
        <w:t xml:space="preserve">by the Administrative Tribunals Act, 1985 but the provisions in these Articles and in the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8"/>
          <w:sz w:val="16"/>
          <w:szCs w:val="16"/>
        </w:rPr>
        <w:t xml:space="preserve">legislations enacted in pursuance thereof excluding the jurisdiction of SC and HCs under</w:t>
      </w:r>
    </w:p>
    <w:sectPr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