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19A3DF"/>
          <w:sz w:val="18"/>
        </w:rPr>
        <w:t>GUIA DE ENGENHARIA DE DESIGN &amp; COMPONENTIZAÇÃO FRONT-END</w:t>
      </w:r>
    </w:p>
    <w:p>
      <w:pPr>
        <w:spacing w:before="0" w:after="160"/>
      </w:pPr>
      <w:r>
        <w:rPr>
          <w:rFonts w:ascii="Arial" w:hAnsi="Arial"/>
          <w:b/>
          <w:color w:val="000327"/>
          <w:sz w:val="52"/>
        </w:rPr>
        <w:t>Manual de Design System B2B</w:t>
      </w:r>
    </w:p>
    <w:p>
      <w:pPr>
        <w:spacing w:before="0" w:after="360"/>
      </w:pPr>
      <w:r>
        <w:rPr>
          <w:rFonts w:ascii="Arial" w:hAnsi="Arial"/>
          <w:color w:val="666666"/>
          <w:sz w:val="24"/>
        </w:rPr>
        <w:t>Padrões de Interface, Tokens, Tipografia Responsiva, Componentes e Diretrizes para Aplicação em Novos Produtos e Plataformas Digitais.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19A3DF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327"/>
                <w:sz w:val="21"/>
              </w:rPr>
              <w:t>📌 Finalidade Deste Documento</w:t>
              <w:br/>
            </w:r>
            <w:r>
              <w:rPr>
                <w:rFonts w:ascii="Arial" w:hAnsi="Arial"/>
                <w:color w:val="333333"/>
                <w:sz w:val="19"/>
              </w:rPr>
              <w:t>Este manual sintetiza todas as regras visuais, paletas de cor, hierarquias de tipografia responsiva (calibrada para telas desktop, laptops como MacBook e smartphones compactos como iPhone SE), comportamentos de formulários e componentes construídos para o ecossistema digital da Expresso PB. Ele serve como diretriz oficial para designers, desenvolvedores front-end e gerentes de produto em qualquer novo projeto da empresa.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rPr>
          <w:rFonts w:ascii="Arial" w:hAnsi="Arial"/>
          <w:b/>
          <w:color w:val="000327"/>
        </w:rPr>
        <w:t>1. Princípios de Design &amp; Posicionamento B2B</w:t>
      </w:r>
    </w:p>
    <w:p>
      <w:r>
        <w:t>A identidade visual da Expresso PB foi concebida para transmitir solidez corporativa, alta precisão técnica e inovação no transporte rodoviário de cargas industriais. O design atende diretamente às expectativas do comitê de compras B2B, com ênfase em três pilares fundamentais:</w:t>
      </w:r>
    </w:p>
    <w:p>
      <w:pPr>
        <w:pStyle w:val="ListBullet"/>
      </w:pPr>
      <w:r>
        <w:rPr>
          <w:b/>
        </w:rPr>
        <w:t xml:space="preserve">Autoridade e Robustez Operacional: </w:t>
      </w:r>
      <w:r>
        <w:t>Uso de tons profundos (Deep Navy #000327) e tipografia pesada (Montserrat 700/800) para inspirar segurança e porte de frota pesada.</w:t>
      </w:r>
    </w:p>
    <w:p>
      <w:pPr>
        <w:pStyle w:val="ListBullet"/>
      </w:pPr>
      <w:r>
        <w:rPr>
          <w:b/>
        </w:rPr>
        <w:t xml:space="preserve">Precisão Tecnológica e Transparência: </w:t>
      </w:r>
      <w:r>
        <w:t>Acentos em azul ciano e satelital (#19A3DF e #38BDF8), telemetria em tempo real, torres de controle 24/7 e dados claros de SLA.</w:t>
      </w:r>
    </w:p>
    <w:p>
      <w:pPr>
        <w:pStyle w:val="ListBullet"/>
      </w:pPr>
      <w:r>
        <w:rPr>
          <w:b/>
        </w:rPr>
        <w:t xml:space="preserve">Previsibilidade e Foco em Resultados: </w:t>
      </w:r>
      <w:r>
        <w:t>Comunicação direta voltada a saving, eliminação de pernoite e integridade de carga para decisores financeiros (Procurement) e operacionais (Supply Chain).</w:t>
      </w:r>
    </w:p>
    <w:p>
      <w:pPr>
        <w:pStyle w:val="Heading1"/>
      </w:pPr>
      <w:r>
        <w:rPr>
          <w:rFonts w:ascii="Arial" w:hAnsi="Arial"/>
          <w:b/>
          <w:color w:val="000327"/>
        </w:rPr>
        <w:t>2. Design Tokens: Paleta de Cores</w:t>
      </w:r>
    </w:p>
    <w:p>
      <w:r>
        <w:t>As cores formam a base da comunicação da marca. A relação de contraste atende aos padrões WCAG AA para garantir acessibilidade visual plena tanto em modo escuro (Dark Blue dominante) quanto em seções claras.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Token / Nome</w:t>
            </w:r>
          </w:p>
        </w:tc>
        <w:tc>
          <w:tcPr>
            <w:tcW w:type="dxa" w:w="1440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HEX</w:t>
            </w:r>
          </w:p>
        </w:tc>
        <w:tc>
          <w:tcPr>
            <w:tcW w:type="dxa" w:w="1872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RGB</w:t>
            </w:r>
          </w:p>
        </w:tc>
        <w:tc>
          <w:tcPr>
            <w:tcW w:type="dxa" w:w="3888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Aplicação e Significado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Primary Blue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#19A3DF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rgb(25, 163, 223)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Botões principais, ícones ativos, kickers, links e destaques visuais.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Dark Blue (Navy)</w:t>
            </w:r>
          </w:p>
        </w:tc>
        <w:tc>
          <w:tcPr>
            <w:tcW w:type="dxa" w:w="144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#000327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rgb(0, 3, 39)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Cor institucional principal. Hero, cabeçalho, rodapé e títulos H1/H2.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White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#FFFFFF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rgb(255, 255, 255)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Texto sobre fundo escuro, fundo de cartões e áreas limpas de formulários.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Gray Light</w:t>
            </w:r>
          </w:p>
        </w:tc>
        <w:tc>
          <w:tcPr>
            <w:tcW w:type="dxa" w:w="144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#F4F5F7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rgb(244, 245, 247)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Fundo de seções alternadas (bento grids, cards secundários e divisores).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Text Dark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#333333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rgb(51, 51, 51)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Texto padrão de leitura e parágrafos em fundos claros.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Text Muted</w:t>
            </w:r>
          </w:p>
        </w:tc>
        <w:tc>
          <w:tcPr>
            <w:tcW w:type="dxa" w:w="144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#666666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rgb(102, 102, 102)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Legendas, placeholders e textos secundários de apoio.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Sky Blue Accent</w:t>
            </w:r>
          </w:p>
        </w:tc>
        <w:tc>
          <w:tcPr>
            <w:tcW w:type="dxa" w:w="14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#38BDF8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rgb(56, 189, 248)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Selos de tecnologia, tags de agendamento em CDs e badges de destaque.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Success Green</w:t>
            </w:r>
          </w:p>
        </w:tc>
        <w:tc>
          <w:tcPr>
            <w:tcW w:type="dxa" w:w="144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#4ADE80</w:t>
            </w:r>
          </w:p>
        </w:tc>
        <w:tc>
          <w:tcPr>
            <w:tcW w:type="dxa" w:w="187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rgb(74, 222, 128)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Indicadores de telemetria satelital ativa 100% e confirmação de envio.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00032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327"/>
                <w:sz w:val="21"/>
              </w:rPr>
              <w:t>📌 Regra de Uso do Dark Blue e Primary Blue</w:t>
              <w:br/>
            </w:r>
            <w:r>
              <w:rPr>
                <w:rFonts w:ascii="Arial" w:hAnsi="Arial"/>
                <w:color w:val="333333"/>
                <w:sz w:val="19"/>
              </w:rPr>
              <w:t>Nunca utilize o Primary Blue (#19A3DF) como texto contínuo longo em fundo branco devido à perda de legibilidade. Ele deve ser reservado para kickers em caixa alta, botões com texto branco e detalhes iconográficos. Em fundos escuros, textos principais devem usar Branco (#FFFFFF) com 85% a 100% de opacidade.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rPr>
          <w:rFonts w:ascii="Arial" w:hAnsi="Arial"/>
          <w:b/>
          <w:color w:val="000327"/>
        </w:rPr>
        <w:t>3. Tipografia e Hierarquia Responsiva</w:t>
      </w:r>
    </w:p>
    <w:p>
      <w:r>
        <w:t>A identidade tipográfica combina três fontes com objetivos funcionais específicos:</w:t>
      </w:r>
    </w:p>
    <w:p>
      <w:pPr>
        <w:pStyle w:val="ListBullet"/>
      </w:pPr>
      <w:r>
        <w:rPr>
          <w:b/>
        </w:rPr>
        <w:t xml:space="preserve">Montserrat (Títulos e Destaques): </w:t>
      </w:r>
      <w:r>
        <w:t>Geométrica, moderna e assertiva. Utilizada em pesos 700 (Bold) e 800 (Extra Bold) com letter-spacing levemente negativo (-0.5px a -1px).</w:t>
      </w:r>
    </w:p>
    <w:p>
      <w:pPr>
        <w:pStyle w:val="ListBullet"/>
      </w:pPr>
      <w:r>
        <w:rPr>
          <w:b/>
        </w:rPr>
        <w:t xml:space="preserve">Inter (Corpo de Texto e Parágrafos): </w:t>
      </w:r>
      <w:r>
        <w:t>Altíssima legibilidade em telas digitais. Utilizada em pesos 400 (Regular), 500 (Medium) e 600 (Semi-bold) com line-height 1.6.</w:t>
      </w:r>
    </w:p>
    <w:p>
      <w:pPr>
        <w:pStyle w:val="ListBullet"/>
      </w:pPr>
      <w:r>
        <w:rPr>
          <w:b/>
        </w:rPr>
        <w:t xml:space="preserve">Orbitron (Logomarca e Elementos Técnicos): </w:t>
      </w:r>
      <w:r>
        <w:t>Tipografia futurista aplicada na identidade visual da marca e métricas operacionais numéricas.</w:t>
      </w:r>
    </w:p>
    <w:p>
      <w:pPr>
        <w:spacing w:before="160" w:after="80"/>
      </w:pPr>
      <w:r>
        <w:rPr>
          <w:rFonts w:ascii="Arial" w:hAnsi="Arial"/>
          <w:b/>
          <w:color w:val="000327"/>
          <w:sz w:val="24"/>
        </w:rPr>
        <w:t>Escala de Tamanhos Responsivos (Títulos e Seções)</w:t>
      </w:r>
    </w:p>
    <w:p>
      <w:r>
        <w:t>Para evitar títulos desproporcionais ou quebras de apenas uma palavra por linha em telas compactas (ex.: iPhone SE de 375px), o sistema adota uma escala progressiva calibrada por faixas de breakpoint: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1584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Desktop (&gt; 992px)</w:t>
            </w:r>
          </w:p>
        </w:tc>
        <w:tc>
          <w:tcPr>
            <w:tcW w:type="dxa" w:w="1584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Tablet (&lt;= 768px)</w:t>
            </w:r>
          </w:p>
        </w:tc>
        <w:tc>
          <w:tcPr>
            <w:tcW w:type="dxa" w:w="1584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Mobile (&lt;= 576px)</w:t>
            </w:r>
          </w:p>
        </w:tc>
        <w:tc>
          <w:tcPr>
            <w:tcW w:type="dxa" w:w="1584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Compacto (&lt;= 400px)</w:t>
            </w:r>
          </w:p>
        </w:tc>
        <w:tc>
          <w:tcPr>
            <w:tcW w:type="dxa" w:w="2160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Propriedades Adicionais</w:t>
            </w:r>
          </w:p>
        </w:tc>
      </w:tr>
      <w:tr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Hero H1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3.5rem - 4.2rem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2.30rem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2.05rem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1.85rem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line-height: 1.2; text-wrap: balance</w:t>
            </w:r>
          </w:p>
        </w:tc>
      </w:tr>
      <w:tr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Seção H2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3.00rem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1.95rem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1.75rem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1.62rem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line-height: 1.24; text-wrap: balance</w:t>
            </w:r>
          </w:p>
        </w:tc>
      </w:tr>
      <w:tr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Card H3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1.50rem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1.28rem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1.20rem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1.15rem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font-weight: 700; margin-bottom: 0.8rem</w:t>
            </w:r>
          </w:p>
        </w:tc>
      </w:tr>
      <w:tr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Subtítulo H4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1.20rem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1.15rem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1.10rem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1.05rem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font-weight: 600; line-height: 1.4</w:t>
            </w:r>
          </w:p>
        </w:tc>
      </w:tr>
      <w:tr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Kicker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0.90rem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0.85rem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0.82rem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0.80rem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text-transform: uppercase; letter-spacing: 2px</w:t>
            </w:r>
          </w:p>
        </w:tc>
      </w:tr>
      <w:tr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Parágrafo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1.10rem - 1.25rem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1.05rem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1.00rem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0.95rem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line-height: 1.6; color: var(--text-color)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19A3DF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327"/>
                <w:sz w:val="21"/>
              </w:rPr>
              <w:t>📌 Regra de Ouro: text-wrap: balance</w:t>
              <w:br/>
            </w:r>
            <w:r>
              <w:rPr>
                <w:rFonts w:ascii="Arial" w:hAnsi="Arial"/>
                <w:color w:val="333333"/>
                <w:sz w:val="19"/>
              </w:rPr>
              <w:t>Todos os títulos (h1, h2, h3, h4) devem receber a propriedade CSS 'text-wrap: balance;'. Isso faz com que o motor do navegador redistribua automaticamente as palavras entre as linhas, eliminando palavras órfãs e mantendo uma apresentação editorial simétrica em qualquer resolução.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rPr>
          <w:rFonts w:ascii="Arial" w:hAnsi="Arial"/>
          <w:b/>
          <w:color w:val="000327"/>
        </w:rPr>
        <w:t>4. Grid, Espaçamento e Layout Responsivo</w:t>
      </w:r>
    </w:p>
    <w:p>
      <w:r>
        <w:t>O layout baseia-se em um container central com largura máxima de 1360px e sistema de grid modular. Foram definidas regras específicas para telas de laptops (MacBook 13" / 1440px) e celulares menores: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Classe / Componente</w:t>
            </w:r>
          </w:p>
        </w:tc>
        <w:tc>
          <w:tcPr>
            <w:tcW w:type="dxa" w:w="2592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Comportamento Desktop</w:t>
            </w:r>
          </w:p>
        </w:tc>
        <w:tc>
          <w:tcPr>
            <w:tcW w:type="dxa" w:w="2592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Comportamento Mobile (&lt; 992px)</w:t>
            </w:r>
          </w:p>
        </w:tc>
        <w:tc>
          <w:tcPr>
            <w:tcW w:type="dxa" w:w="2736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Finalidade Principal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.container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max-width: 1360px; padding: 0 2rem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padding: 0 1.25rem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Centralização de conteúdo e margens seguras.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.grid-2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display: grid; 2 colunas iguais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 coluna (1fr)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Divisão de texto institucional e imagem/mapa.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.grid-3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display: grid; 3 colunas iguais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 coluna ou carrossel horizontal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Pares de cartões de valores, pilares e benefícios.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.grid-4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display: grid; 4 colunas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Carrossel com scroll-snap e dots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Segmentos industriais e cartões de soluções.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.mobile-carousel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Grid padrão desktop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flex com scroll-snap-type: x mandatory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Navegação por deslize em smartphones sem vertical stack infinito.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.cases-grid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align-items: stretch !important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1 coluna com cartões equalizados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Equalização perfeita de altura dos cartões de case.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000327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327"/>
                <w:sz w:val="21"/>
              </w:rPr>
              <w:t>📌 Calibração para Telas de Laptop (MacBook 13")</w:t>
              <w:br/>
            </w:r>
            <w:r>
              <w:rPr>
                <w:rFonts w:ascii="Arial" w:hAnsi="Arial"/>
                <w:color w:val="333333"/>
                <w:sz w:val="19"/>
              </w:rPr>
              <w:t>Em telas com largura entre 1280px e 1440px, componentes expansivos como mapas SVG interativos ou ilustrações não devem exceder 110% de largura nem usar 'translateX' positivo, sob risco de colisão com a borda direita. Deve-se aplicar 'transform: scale(1.1) translateX(-10%)' e 'padding-right: 3rem' no container lateral.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rPr>
          <w:rFonts w:ascii="Arial" w:hAnsi="Arial"/>
          <w:b/>
          <w:color w:val="000327"/>
        </w:rPr>
        <w:t>5. Componentes de Interface (UI Kit)</w:t>
      </w:r>
    </w:p>
    <w:p>
      <w:r>
        <w:t>Abaixo estão os padrões construtivos dos componentes reutilizáveis:</w:t>
      </w:r>
    </w:p>
    <w:p>
      <w:r>
        <w:rPr>
          <w:b/>
          <w:sz w:val="22"/>
        </w:rPr>
        <w:t>5.1. Botões (Buttons)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Estilo</w:t>
            </w:r>
          </w:p>
        </w:tc>
        <w:tc>
          <w:tcPr>
            <w:tcW w:type="dxa" w:w="2160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Background</w:t>
            </w:r>
          </w:p>
        </w:tc>
        <w:tc>
          <w:tcPr>
            <w:tcW w:type="dxa" w:w="2016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Texto</w:t>
            </w:r>
          </w:p>
        </w:tc>
        <w:tc>
          <w:tcPr>
            <w:tcW w:type="dxa" w:w="1584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Borda</w:t>
            </w:r>
          </w:p>
        </w:tc>
        <w:tc>
          <w:tcPr>
            <w:tcW w:type="dxa" w:w="2592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Hover / Efeito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.btn-primary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var(--primary-blue) #19A3DF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Branco (#FFF), peso 700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Nenhuma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background: #1486B8; transform: translateY(-2px); box-shadow: 0 10px 20px rgba(25,163,223,0.3)</w:t>
            </w:r>
          </w:p>
        </w:tc>
      </w:tr>
      <w:tr>
        <w:tc>
          <w:tcPr>
            <w:tcW w:type="dxa" w:w="172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.btn-outline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Transparente</w:t>
            </w:r>
          </w:p>
        </w:tc>
        <w:tc>
          <w:tcPr>
            <w:tcW w:type="dxa" w:w="201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Branco (#FFF), peso 600</w:t>
            </w:r>
          </w:p>
        </w:tc>
        <w:tc>
          <w:tcPr>
            <w:tcW w:type="dxa" w:w="1584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2px solid rgba(255,255,255,0.4)</w:t>
            </w:r>
          </w:p>
        </w:tc>
        <w:tc>
          <w:tcPr>
            <w:tcW w:type="dxa" w:w="259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background: var(--white); color: var(--dark-blue); border-color: #FFF</w:t>
            </w:r>
          </w:p>
        </w:tc>
      </w:tr>
      <w:tr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.btn-white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Branco (#FFF)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var(--dark-blue) #000327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Nenhuma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background: var(--primary-blue); color: #FFF; box-shadow</w:t>
            </w:r>
          </w:p>
        </w:tc>
      </w:tr>
    </w:tbl>
    <w:p>
      <w:pPr>
        <w:spacing w:before="0" w:after="160"/>
      </w:pPr>
    </w:p>
    <w:p>
      <w:r>
        <w:rPr>
          <w:b/>
          <w:sz w:val="22"/>
        </w:rPr>
        <w:t>5.2. Selos, Badges de Garantia e Diferenciais</w:t>
      </w:r>
    </w:p>
    <w:p>
      <w:r>
        <w:t>Elementos visuais de confiança operacional para blindagem de propostas B2B:</w:t>
      </w:r>
    </w:p>
    <w:p>
      <w:pPr>
        <w:pStyle w:val="ListBullet"/>
      </w:pPr>
      <w:r>
        <w:rPr>
          <w:b/>
        </w:rPr>
        <w:t xml:space="preserve">Selo de Isenção de Pernoite (.pernoite-banner-inline): </w:t>
      </w:r>
      <w:r>
        <w:t>Fundo rgba(25, 163, 223, 0.1), borda esquerda grossa de 4px em Primary Blue, ícone ShieldCheck. Garante previsibilidade contra taxas ocultas de docas.</w:t>
      </w:r>
    </w:p>
    <w:p>
      <w:pPr>
        <w:pStyle w:val="ListBullet"/>
      </w:pPr>
      <w:r>
        <w:rPr>
          <w:b/>
        </w:rPr>
        <w:t xml:space="preserve">Badge de Premiação e Reconhecimento (.case-award-badge): </w:t>
      </w:r>
      <w:r>
        <w:t>Fundo translúcido com borda dourada/azul celeste, ícone Trophy/CheckCircle em tamanho reduzido (0.85rem), peso 700, bordas arredondadas de 50px.</w:t>
      </w:r>
    </w:p>
    <w:p>
      <w:pPr>
        <w:pStyle w:val="ListBullet"/>
      </w:pPr>
      <w:r>
        <w:rPr>
          <w:b/>
        </w:rPr>
        <w:t xml:space="preserve">Kicker Institucional (.kicker): </w:t>
      </w:r>
      <w:r>
        <w:t>Texto em caixa alta, cor Primary Blue (#19A3DF), espaçamento entre caracteres de 2px, peso 800. Antecede sempre os títulos principais das seções.</w:t>
      </w:r>
    </w:p>
    <w:p>
      <w:r>
        <w:rPr>
          <w:b/>
          <w:sz w:val="22"/>
        </w:rPr>
        <w:t>5.3. Formulários B2B e Cadastro de Candidatos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Diretriz de Formulário</w:t>
            </w:r>
          </w:p>
        </w:tc>
        <w:tc>
          <w:tcPr>
            <w:tcW w:type="dxa" w:w="3312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Especificação Técnica</w:t>
            </w:r>
          </w:p>
        </w:tc>
        <w:tc>
          <w:tcPr>
            <w:tcW w:type="dxa" w:w="3888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Motivo de UX / Boas Práticas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Campos Limpos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value='' / defaultValue='' inicial em todos os inputs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Evita confusão ou envio de informações fictícias pelo lead.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Placeholders Informativos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Ex: '(83) 99999-9999' ou 'Ex: 27 toneladas'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Guia o preenchimento sem poluir o formulário com dados pré-marcados.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Opção Neutra em Selects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&lt;option value=''&gt;Selecione...&lt;/option&gt;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Obriga a escolha consciente da modalidade ou categoria da CNH.</w:t>
            </w:r>
          </w:p>
        </w:tc>
      </w:tr>
      <w:tr>
        <w:tc>
          <w:tcPr>
            <w:tcW w:type="dxa" w:w="2160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Feedback de Envio</w:t>
            </w:r>
          </w:p>
        </w:tc>
        <w:tc>
          <w:tcPr>
            <w:tcW w:type="dxa" w:w="3312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Tela de sucesso com ícone CheckCircle 68px e mensagem de confirmação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Confirmação inequívoca de recebimento pelo comitê ou RH.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Responsividade dos Inputs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grid-2-inputs que colapsa para 1 coluna em mobile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Toque facilitado em smartphones sem campos espremidos horizontalmente.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rPr>
          <w:rFonts w:ascii="Arial" w:hAnsi="Arial"/>
          <w:b/>
          <w:color w:val="000327"/>
        </w:rPr>
        <w:t>6. Efeitos Visuais, Glassmorphism e Transições</w:t>
      </w:r>
    </w:p>
    <w:p>
      <w:r>
        <w:t>Para conferir sofisticação ao produto sem sobrecarregar a performance do navegador, o design system estabelece os seguintes padrões técnicos: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Efeito</w:t>
            </w:r>
          </w:p>
        </w:tc>
        <w:tc>
          <w:tcPr>
            <w:tcW w:type="dxa" w:w="3888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Implementação CSS</w:t>
            </w:r>
          </w:p>
        </w:tc>
        <w:tc>
          <w:tcPr>
            <w:tcW w:type="dxa" w:w="3456"/>
            <w:shd w:fill="000327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Contexto de Aplicação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Header Scrolled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background: rgba(0, 3, 39, 0.95); backdrop-filter: blur(12px); box-shadow: 0 4px 25px rgba(0,0,0,0.35)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Barra de navegação ao rolar a página para baixo.</w:t>
            </w:r>
          </w:p>
        </w:tc>
      </w:tr>
      <w:tr>
        <w:tc>
          <w:tcPr>
            <w:tcW w:type="dxa" w:w="201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Hover de Imagens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transform: scale(1.05); transition: transform 0.8s ease;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Cartões de cases e fotos de frotas industriais.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Card Elevation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transform: translateY(-8px); box-shadow: 0 30px 60px rgba(0,3,39,0.25)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Interação ao passar o mouse sobre cartões de soluções e cases.</w:t>
            </w:r>
          </w:p>
        </w:tc>
      </w:tr>
      <w:tr>
        <w:tc>
          <w:tcPr>
            <w:tcW w:type="dxa" w:w="201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Glow Sutil</w:t>
            </w:r>
          </w:p>
        </w:tc>
        <w:tc>
          <w:tcPr>
            <w:tcW w:type="dxa" w:w="3888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background: radial-gradient(circle, rgba(25, 163, 223, 0.18) 0%, transparent 70%)</w:t>
            </w:r>
          </w:p>
        </w:tc>
        <w:tc>
          <w:tcPr>
            <w:tcW w:type="dxa" w:w="3456"/>
            <w:shd w:fill="F9FA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Fundos escuros institucionais e mapas para destacar tecnologia.</w:t>
            </w:r>
          </w:p>
        </w:tc>
      </w:tr>
      <w:tr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Overlays de Hero</w:t>
            </w:r>
          </w:p>
        </w:tc>
        <w:tc>
          <w:tcPr>
            <w:tcW w:type="dxa" w:w="388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linear-gradient(135deg, rgba(0,3,39,0.95) 0%, rgba(0,3,39,0.7) 100%)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8"/>
              </w:rPr>
              <w:t>Legibilidade perfeita de texto sobre fotografias reais da frota.</w:t>
            </w:r>
          </w:p>
        </w:tc>
      </w:tr>
    </w:tbl>
    <w:p>
      <w:pPr>
        <w:spacing w:before="0" w:after="160"/>
      </w:pPr>
    </w:p>
    <w:p>
      <w:pPr>
        <w:pStyle w:val="Heading1"/>
      </w:pPr>
      <w:r>
        <w:rPr>
          <w:rFonts w:ascii="Arial" w:hAnsi="Arial"/>
          <w:b/>
          <w:color w:val="000327"/>
        </w:rPr>
        <w:t>7. Guia de Implementação para Novos Projetos</w:t>
      </w:r>
    </w:p>
    <w:p>
      <w:r>
        <w:t>Para iniciar um novo projeto (seja em React, Vue, HTML estático ou Next.js) seguindo este Design System, inclua as variáveis de ambiente e o boilerplate CSS a seguir: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F2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38BDF8"/>
                <w:sz w:val="17"/>
              </w:rPr>
              <w:t>:root {</w:t>
              <w:br/>
              <w:t xml:space="preserve">    /* Cores Institucionais */</w:t>
              <w:br/>
              <w:t xml:space="preserve">    --primary-blue: #19A3DF;</w:t>
              <w:br/>
              <w:t xml:space="preserve">    --dark-blue: #000327;</w:t>
              <w:br/>
              <w:t xml:space="preserve">    --white: #ffffff;</w:t>
              <w:br/>
              <w:t xml:space="preserve">    --gray-light: #f4f5f7;</w:t>
              <w:br/>
              <w:t xml:space="preserve">    --text-color: #333333;</w:t>
              <w:br/>
              <w:t xml:space="preserve">    --text-muted: #666666;</w:t>
              <w:br/>
              <w:t xml:space="preserve">    </w:t>
              <w:br/>
              <w:t xml:space="preserve">    /* Tipografia */</w:t>
              <w:br/>
              <w:t xml:space="preserve">    --font-heading: 'Montserrat', sans-serif;</w:t>
              <w:br/>
              <w:t xml:space="preserve">    --font-body: 'Inter', sans-serif;</w:t>
              <w:br/>
              <w:t xml:space="preserve">    --font-logo: 'Orbitron', sans-serif;</w:t>
              <w:br/>
              <w:t xml:space="preserve">    </w:t>
              <w:br/>
              <w:t xml:space="preserve">    /* Transições */</w:t>
              <w:br/>
              <w:t xml:space="preserve">    --transition: all 0.3s cubic-bezier(0.16, 1, 0.3, 1);</w:t>
              <w:br/>
              <w:t>}</w:t>
              <w:br/>
              <w:br/>
              <w:t>/* Tipografia Base com Proteção de Quebra */</w:t>
              <w:br/>
              <w:t xml:space="preserve">h1, h2, h3, h4, h5, h6 { </w:t>
              <w:br/>
              <w:t xml:space="preserve">    font-family: var(--font-heading); </w:t>
              <w:br/>
              <w:t xml:space="preserve">    font-weight: 700; </w:t>
              <w:br/>
              <w:t xml:space="preserve">    color: var(--dark-blue); </w:t>
              <w:br/>
              <w:t xml:space="preserve">    line-height: 1.2; </w:t>
              <w:br/>
              <w:t xml:space="preserve">    letter-spacing: -0.5px; </w:t>
              <w:br/>
              <w:t xml:space="preserve">    text-wrap: balance; </w:t>
              <w:br/>
              <w:t>}</w:t>
              <w:br/>
              <w:br/>
              <w:t>/* Escala Mobile Calibrada */</w:t>
              <w:br/>
              <w:t>@media (max-width: 992px) {</w:t>
              <w:br/>
              <w:t xml:space="preserve">    h1 { font-size: 2.6rem !important; }</w:t>
              <w:br/>
              <w:t xml:space="preserve">    h2 { font-size: 2.15rem !important; }</w:t>
              <w:br/>
              <w:t>}</w:t>
              <w:br/>
              <w:t>@media (max-width: 576px) {</w:t>
              <w:br/>
              <w:t xml:space="preserve">    h1 { font-size: 2.05rem !important; line-height: 1.2 !important; }</w:t>
              <w:br/>
              <w:t xml:space="preserve">    h2 { font-size: 1.75rem !important; line-height: 1.24 !important; }</w:t>
              <w:br/>
              <w:t>}</w:t>
              <w:br/>
              <w:t>@media (max-width: 400px) {</w:t>
              <w:br/>
              <w:t xml:space="preserve">    h1 { font-size: 1.85rem !important; line-height: 1.2 !important; letter-spacing: -0.5px !important; }</w:t>
              <w:br/>
              <w:t xml:space="preserve">    h2 { font-size: 1.62rem !important; line-height: 1.24 !important; letter-spacing: -0.3px !important; }</w:t>
              <w:br/>
              <w:t>}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none"/>
              <w:left w:val="single" w:sz="36" w:space="0" w:color="19A3DF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00327"/>
                <w:sz w:val="21"/>
              </w:rPr>
              <w:t>📌 Governança do Design System</w:t>
              <w:br/>
            </w:r>
            <w:r>
              <w:rPr>
                <w:rFonts w:ascii="Arial" w:hAnsi="Arial"/>
                <w:color w:val="333333"/>
                <w:sz w:val="19"/>
              </w:rPr>
              <w:t>Qualquer alteração em tokens centrais (como alteração de fontes, saturação da cor primária ou comportamentos de grids fundamentais) deve ser validada e documentada nesta matriz para manter a coesão institucional em todos os canais digitais da Expresso PB.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0A0A0"/>
        <w:sz w:val="16"/>
      </w:rPr>
      <w:t>Expresso PB Logística • Documentação de Padrões e UI/UX • Versão 2.0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969696"/>
        <w:sz w:val="16"/>
      </w:rPr>
      <w:t>MANUAL DE DESIGN SYSTEM • EXPRESO PB LOGÍSTICA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