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B8" w:rsidRDefault="00910524">
      <w:r>
        <w:t>Система гемотрансфузионная с пластиковой заборной иглой</w:t>
      </w:r>
    </w:p>
    <w:p w:rsidR="00910524" w:rsidRDefault="00910524" w:rsidP="0091052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устройство однократного применения используется в различных направлениях медицинской деятельности и предназначено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переливания крови и ее компонентов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хся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стеклянной или пластиковой упаковке в кровеносную систему человека в условиях лечебных учреждений. Система состоит из основных частей, представленных заборной иглой, выполненной из АБС-пластика, прозрачной капельной камерой, соединенной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гибкой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трубкой из ПВХ-материала и инъекционного модуля с иглой из нержавеющей стали, включающего в себя адаптер типа </w:t>
      </w:r>
      <w:r w:rsidRPr="005B6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B6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10524" w:rsidRPr="005B6F1D" w:rsidRDefault="00910524" w:rsidP="0091052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524" w:rsidRPr="005B6F1D" w:rsidRDefault="00910524" w:rsidP="0091052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Гемотрансфузионная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имеет ряд отличительных особенностей в виде: </w:t>
      </w:r>
    </w:p>
    <w:p w:rsidR="00910524" w:rsidRPr="005B6F1D" w:rsidRDefault="00910524" w:rsidP="0091052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Специального антибактериального клапана, расположенного в заборном модуле, который препятствует проникновению чужеродных агентов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гемотрансфузионную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систему;</w:t>
      </w:r>
    </w:p>
    <w:p w:rsidR="00910524" w:rsidRPr="005B6F1D" w:rsidRDefault="00910524" w:rsidP="0091052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Фильтра толщиной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200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микрон;</w:t>
      </w:r>
    </w:p>
    <w:p w:rsidR="00910524" w:rsidRPr="005B6F1D" w:rsidRDefault="00910524" w:rsidP="0091052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Эргономичного регулятора скорости потока, снабженного упором для пальцев;</w:t>
      </w:r>
    </w:p>
    <w:p w:rsidR="00910524" w:rsidRPr="005B6F1D" w:rsidRDefault="00910524" w:rsidP="0091052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 для </w:t>
      </w:r>
      <w:r w:rsidRPr="005B6F1D">
        <w:rPr>
          <w:rFonts w:ascii="Times New Roman" w:hAnsi="Times New Roman" w:cs="Times New Roman"/>
          <w:color w:val="03080B"/>
          <w:sz w:val="24"/>
          <w:szCs w:val="24"/>
        </w:rPr>
        <w:t>дополнительных инъекций из латекса;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10524" w:rsidRPr="005B6F1D" w:rsidRDefault="00910524" w:rsidP="00910524">
      <w:pPr>
        <w:pStyle w:val="a4"/>
        <w:numPr>
          <w:ilvl w:val="0"/>
          <w:numId w:val="1"/>
        </w:numPr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Инъекционной иглы </w:t>
      </w:r>
      <w:r w:rsidRPr="005B6F1D">
        <w:rPr>
          <w:rFonts w:ascii="Times New Roman" w:hAnsi="Times New Roman" w:cs="Times New Roman"/>
          <w:color w:val="03080B"/>
          <w:sz w:val="24"/>
          <w:szCs w:val="24"/>
        </w:rPr>
        <w:t>0,8 x 40 (21G)</w:t>
      </w:r>
      <w:r>
        <w:rPr>
          <w:rFonts w:ascii="Times New Roman" w:hAnsi="Times New Roman" w:cs="Times New Roman"/>
          <w:color w:val="03080B"/>
          <w:sz w:val="24"/>
          <w:szCs w:val="24"/>
        </w:rPr>
        <w:t>.</w:t>
      </w:r>
    </w:p>
    <w:bookmarkEnd w:id="0"/>
    <w:p w:rsidR="00910524" w:rsidRDefault="00910524" w:rsidP="00910524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Упаковка: 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Индивидуальн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ая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полиэтиленовая упаковка с содержанием всей необходимой информации на русском языке.</w:t>
      </w:r>
    </w:p>
    <w:p w:rsidR="00910524" w:rsidRPr="00874E59" w:rsidRDefault="00910524" w:rsidP="00910524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910524" w:rsidRPr="00942DA9" w:rsidRDefault="00910524" w:rsidP="00910524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910524" w:rsidRDefault="00910524" w:rsidP="00910524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</w:p>
    <w:p w:rsidR="00910524" w:rsidRDefault="00910524" w:rsidP="00910524"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910524" w:rsidRDefault="00910524"/>
    <w:sectPr w:rsidR="00910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AB"/>
    <w:rsid w:val="00714DAB"/>
    <w:rsid w:val="00910524"/>
    <w:rsid w:val="00B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14430-6CA1-44A7-9157-FF73634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0524"/>
    <w:rPr>
      <w:b/>
      <w:bCs/>
    </w:rPr>
  </w:style>
  <w:style w:type="paragraph" w:styleId="a4">
    <w:name w:val="List Paragraph"/>
    <w:basedOn w:val="a"/>
    <w:uiPriority w:val="34"/>
    <w:qFormat/>
    <w:rsid w:val="0091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2022-05-04T18:38:00Z</dcterms:created>
  <dcterms:modified xsi:type="dcterms:W3CDTF">2022-05-04T18:48:00Z</dcterms:modified>
</cp:coreProperties>
</file>