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State-of-the-Art Algorithmic Frameworks, Deep Reinforcement Learning, and Multi-Agent Orchestration in Cryptocurrency Spot Trading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global digital asset ecosystem has underwent a profound structural transformation, driven by the introduction of regulated spot Bitcoin and Ethereum exchange-traded funds (ETFs) in major financial centers and the subsequent influx of institutional capital. Cryptocurrency spot markets, once dominated by retail sentiment and disjointed pricing across venues, have matured into highly complex, fragmented, and region-segmented trading environments. Today, multiple coexisting exchanges process order flows at differing velocities, meaning that price discovery and liquidity leadership continuously rotate across geographical jurisdictions and venues. In this high-frequency, perpetually active 24/7 marketplace, algorithmic trading has become the dominant paradigm, with automated systems executing over 80% of all transaction volume. These automated systems reduce emotional trading errors by approximately 70%, but they also create highly competitive and automated order-flow patterns. To capture sustainable alpha in this environment, modern quantitative desks have transitioned from rigid, rule-based trading engines to highly adaptive architectures combining advanced sequence modeling, deep reinforcement learning, and real-time natural language orchestration.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Predictive Sequence Modeling and Foundation Architectures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Predictive modeling in digital assets has transitioned from classical linear forecasting methods to deep sequence learning models. Early statistical baselines—including AutoRegressive Integrated Moving Average (ARIMA) models, Vector AutoRegression (VAR), Generalized AutoRegressive Conditional Heteroskedasticity (GARCH) volatility models, and simple Random Walk benchmarks—frequently fail to capture the non-linear, multi-scale temporal dependencies and rapid regime shifts that characterize cryptocurrency spot prices. While Recurrent Neural Networks (RNNs) and Long Short-Term Memory (LSTM) networks initially offered a solution by utilizing internal gating mechanisms to capture historical dependencies, they struggle to scale. Stacked, multi-layer LSTM networks designed to mitigate vanishing gradients in financial time-series are highly sensitive to sequence lengths and suffer from slower convergence when the input space is enriched with large technical indicator matrices. Furthermore, when trained to minimize standard binary cross-entropy based on directional price accuracy, these recurrent models remain blind to price magnitude, treating minor fluctuations and extreme tail events with identical weight.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these limitations, attention-based Transformer models have emerged as the premier architecture for multi-step price and volatility forecasting. The core multi-head self-attention mechanism maps pairwise temporal relationships across an entire context window simultaneously, bypassing the sequential processing bottlenecks of recurrent networks and enabling efficient parallel computation. Within this framework, time-series embeddings often exhibit low-rank properties, which allows attention layers to be compressed and run efficiently on high-frequency cryptocurrency spot data.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specialized Transformer architectures have been designed for financial forecasting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Autoformer:</w:t>
      </w:r>
      <w:r w:rsidDel="00000000" w:rsidR="00000000" w:rsidRPr="00000000">
        <w:rPr>
          <w:rtl w:val="0"/>
        </w:rPr>
        <w:t xml:space="preserve"> Replaces standard self-attention with a decomposition-based auto-correlation mechanism, isolating underlying trend-cyclical and seasonal components.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Informer:</w:t>
      </w:r>
      <w:r w:rsidDel="00000000" w:rsidR="00000000" w:rsidRPr="00000000">
        <w:rPr>
          <w:rtl w:val="0"/>
        </w:rPr>
        <w:t xml:space="preserve"> Introduces a ProbSparse self-attention mechanism that selectively evaluates dominant active queries, reducing computational complexity over long context horizons.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Temporal Fusion Transformer (TFT):</w:t>
      </w:r>
      <w:r w:rsidDel="00000000" w:rsidR="00000000" w:rsidRPr="00000000">
        <w:rPr>
          <w:rtl w:val="0"/>
        </w:rPr>
        <w:t xml:space="preserve"> Combines LSTM-based encoder-decoder layers to capture sequential order with Gated Residual Networks (GRNs) inside a Variable Selection Network (VSN). This architecture dynamically prioritizes static covariates, time-varying known inputs (such as day-of-week indicators), and time-varying observed inputs (such as historical volatility) while utilizing multi-head self-attention to output highly interpretable temporal weights.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standard Transformers, hybrid structures combining a Performer neural network with a Bidirectional Long Short-Term Memory (BiLSTM) feedforward network represent the state of the art in high-performance predictive systems. The Performer utilizes Fast Attention Via positive Orthogonal Random features (FAVOR+) to approximate standard softmax attention with linear rather than quadratic computational complexity, drastically enhancing scalability. Integrating a BiLSTM layer into this architecture allows the model to process temporal dynamics in both forward and backward directions simultaneously, extracting rich statistical features from raw open, high, low, close, and volume (OHLCV) feeds and technical indicators.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shift in predictive sequence modeling is the emergence of Time-Series Foundation Models (TSFMs). Inspired by large language models, TSFMs are pre-trained on billions of diverse time points from real-world and synthetic datasets to learn universal temporal representations. Google's TimesFM-2.5 operates as a decoder-only transformer with approximately 200 million parameters, supporting context lengths up to 16k and utilizing causal multi-head self-attention and patch masking to prevent look-ahead bias. Unlike traditional models that output forecasts point-by-point, TimesFM groups time points into contiguous 32-point input patches (tokens) and generates longer output patches (such as 128 points) through a shared multi-layer perceptron (MLP), facilitating rapid inference and zero-shot generalization on unseen assets without task-specific fine-tuning.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the FinCast model is implemented as a 1-billion-parameter decoder-only transformer trained on over 20 billion financial observations across diverse asset classes and temporal resolutions. FinCast incorporates instance normalization, learnable frequency embeddings, a sparse token-based Mixture of Experts (MoE) backbone to dynamically route computation, and point-quantile loss to jointly optimize point accuracy and probabilistic uncertainty estimates.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Family /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Structural Innovation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Best-Performing Asset Target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 Metric (MAPE)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Operational Limitation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ARIMA / GARCH</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 Autoregressive &amp; Volatility Clustering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 Baseline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 Unstable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Insufficient for non-linear cryptocurrency dynamics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Stacked LSTM</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2-Layer Sequential Gating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 Baseline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 Unstable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Blind to price magnitude; prone to gradient decay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GPT-2</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Decoder-only Causal Self-Attention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Bitcoin (BTC)</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0.0289</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Computationally intensive; lacks temporal decomposition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Autoformer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Decomposition Auto-correlation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Ethereum (ETH)</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0.0198</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explicit seasonal assumptions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Informer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ProbSparse Self-Attention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Ripple (XRP)</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0.0418</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miss subtle long-range dependencies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Informer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ProbSparse Self-Attention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Stellar (XLM)</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0.0469</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miss subtle long-range dependencies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Temporal Fusion Transformer</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Selection &amp; LSTM Encoder</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 (SOL)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0.0578</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parameter tuning across static/dynamic inputs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TimesFM 2.5</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Patch-based Decoder-Only Transformer</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Univariate Zero-Shot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Zero-Shot Leader</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Restricted to univariate target forecasting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FinCast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Token-Based Sparse Mixture of Experts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Multi-Domain Zero-Shot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Zero-Shot Leader</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massive computational infrastructure for training</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Reinforcement Learning (DRL) and Autonomous Execution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predictive sequence models generate forecasts, translating these outputs into profitable spot trading execution requires solving sequential decision-making problems in stochastic environments. Deep Reinforcement Learning (DRL) models accomplish this by training autonomous agents that learn optimal trading policies through continuous interaction with the market environment. To prevent algorithm-specific bias, quantitative trading desks employ three representative DRL families: Deep Q-Networks (DQN), Advantage Actor-Critic (A2C), and Proximal Policy Optimization (PPO).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reinforcement learning pipeline is structured into three core components :</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Space Formulation:</w:t>
      </w:r>
      <w:r w:rsidDel="00000000" w:rsidR="00000000" w:rsidRPr="00000000">
        <w:rPr>
          <w:rtl w:val="0"/>
        </w:rPr>
        <w:t xml:space="preserve"> The environment represents the market state x_t using a combination of OHLCV data, technical indicators, and exchange-level liquidity metrics such as the Korean Venue Share Indicator (KVSI). The state vector is processed through an attention-based front-end feature extractor, z_t \leftarrow g(x_t), which estimates time-specific feature importance and reduces microstructural noise.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 Space Definition:</w:t>
      </w:r>
      <w:r w:rsidDel="00000000" w:rsidR="00000000" w:rsidRPr="00000000">
        <w:rPr>
          <w:rtl w:val="0"/>
        </w:rPr>
        <w:t xml:space="preserve"> Standard discrete-action environments map agent outputs to a discrete set {Buy, Sell, Hold}. To eliminate look-ahead bias, chosen actions are priced and executed at the next day's open. More advanced setups deploy continuous-action spaces (such as Twin Delayed Deep Deterministic Policy Gradient, or TD3). TD3 utilizes an actor network to output a continuous action a_t \in [-1, +1], where +1 represents a maximum long position, -1 represents a complete short position, and fractional values represent precise, dynamic position sizing. TD3 also utilizes two critic networks to estimate action quality and mitigate value estimation bias.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Reward Function Design:</w:t>
      </w:r>
      <w:r w:rsidDel="00000000" w:rsidR="00000000" w:rsidRPr="00000000">
        <w:rPr>
          <w:rtl w:val="0"/>
        </w:rPr>
        <w:t xml:space="preserve"> The agent's per-step reward is modeled as the log return of the portfolio value V_t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formulation serves as a dense and stable training signal. Additionally, the reward function is adjusted using the previous day's log return to dampen feedback distortions that arise from action synchronization.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DRL agents are frequently integrated with predictive networks to form hybrid execution frameworks. For example, an automatic spot trading system can deploy Temporal Convolutional Neural Networks (TCNNs), LSTMs, and Gated Recurrent Units (GRUs) to generate price forecasts. These predictions are combined with historical prices, social sentiment indices, technical indicators, and account metrics to form the input state for DQN, A2C, and Recurrent PPO (RPPO) agents.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benchmark evaluation trading across six major assets (Bitcoin, Ethereum, BinanceCoin, DogeCoin, Cardano, and WAVES), a DQN agent achieved an overall return on investment (ROI) of 740%, representing an average of 12.3% ROI per asset and a peak ROI of 63.98% on BinanceCoin. In highly volatile settings, Double DQN and Dueling DQN architectures outperform standard configurations. These models utilize a max operator to estimate the Q-target, stabilizing the state-action value function and allowing the system to scale portfolio wealth in assets like Ripple (XRP) and Bitcoin (BTC).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DRL Algorithm /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Paradigm</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Space Inputs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Space Strategy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Performance Benchmark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DQN (Standard)</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Off-policy, value-based</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OHLCV, TI, KVSI and attention layers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Discrete: {Buy, Sell, Hold}</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Total Cumulative Return: 16.20% \pm 2.99%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DQN (Comparative)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Off-policy, value-based</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prices, predictions, sentiment, TI</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Discrete: {Buy, Sell, Hol[span_13](start_span)[span_13](end_span)d}</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ROI of 740%; 63.98% peak ROI on BNB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Double / Dueling DQN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Off-policy, target value decoupled</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Volatility rates, technical signals, indicators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Discrete: {Buy, Sell, Hold}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Outperforms standard DQN on volatile XRP paths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A2C (Advantage Actor-Critic)</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On-policy, actor-critic</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OHLCV, TI, KVSI and attention layers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Discrete: {Buy, Sell, Hold}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sample efficiency; requires parallel environments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RPPO (Recurrent PPO)</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On-policy, policy gradient</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Recurrent temporal state, historical features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Discrete: {Buy, Sell, Hold}[span_103](start_span)[span_103](end_span)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 on-policy updates via clipping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TD3 (Twin Delayed DDPG)</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Off-policy, continuous control</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 price percentage changes rolling window</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a_t \in [-[span_89](start_span)[span_89](end_span)1, +1]</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Outperforms discrete DQN on Amazon and BTC data</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Sentiment Analysis and Multi-Agent Orchestration Platforms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digital assets lack traditional valuation anchors like discount cash flows or earnings yields, spot prices are highly sensitive to retail and institutional sentiment. Early sentiment-driven trading systems relied on basic dictionary-based classifiers (such as VADER or TextBlob) that scored text using pre-defined lexicons, which frequently mislabeled domain-specific slang, sarcasm, and complex financial terminology. These evolved into classical machine learning pipelines extracting bag-of-words or Term Frequency-Inverse Document Frequency (TF-IDF) features to feed Support Vector Machines (SVM), Naive Bayes, and Random Forest classifiers.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 of the art has been redefined by Large Language Models (LLMs) trained specifically on financial text corpora. The FinGPT platform democratizes financial LLMs by establishing automated data pipelines and fine-tuning frameworks. Unlike standard models that analyze only raw news text, FinGPT incorporates several critical advancements :</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Dissemination-Aware News Clustering:</w:t>
      </w:r>
      <w:r w:rsidDel="00000000" w:rsidR="00000000" w:rsidRPr="00000000">
        <w:rPr>
          <w:rtl w:val="0"/>
        </w:rPr>
        <w:t xml:space="preserve"> Groups company-related and token-specific news to evaluate reach and dissemination velocity, capturing the short-term market impact of a breaking narrative.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Context-Enriched Prompting:</w:t>
      </w:r>
      <w:r w:rsidDel="00000000" w:rsidR="00000000" w:rsidRPr="00000000">
        <w:rPr>
          <w:rtl w:val="0"/>
        </w:rPr>
        <w:t xml:space="preserve"> Populates prompts with real-time technical indicators, Volume-Weighted Average Price (VWAP) feeds, and regulatory filings.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Instruction-Tuned Output Generation:</w:t>
      </w:r>
      <w:r w:rsidDel="00000000" w:rsidR="00000000" w:rsidRPr="00000000">
        <w:rPr>
          <w:rtl w:val="0"/>
        </w:rPr>
        <w:t xml:space="preserve"> Generates granular sentiment classifications (positive/negative) alongside continuous logit confidence scores, yielding an 8% improvement in stock and token directional movement predictions.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trading desks have scaled these models into multi-agent orchestration frameworks. Rather than relying on a single model, these frameworks deploy ensembles of LLM agents, each specializing in different aspects of market analysis.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coordinated using specialized architectures :</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FinMem:</w:t>
      </w:r>
      <w:r w:rsidDel="00000000" w:rsidR="00000000" w:rsidRPr="00000000">
        <w:rPr>
          <w:rtl w:val="0"/>
        </w:rPr>
        <w:t xml:space="preserve"> Utilizes a layered memory structure and a distinct agent persona. It integrates profiling modules, hierarchical context retention, and fine-tunes its perceptual span to achieve human-like reasoning, outperforming classic algorithmic agents in structured benchmarks.</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LLM_trader:</w:t>
      </w:r>
      <w:r w:rsidDel="00000000" w:rsidR="00000000" w:rsidRPr="00000000">
        <w:rPr>
          <w:rtl w:val="0"/>
        </w:rPr>
        <w:t xml:space="preserve"> Combines chain-of-thought reasoning with technical analysis across over 20 indicators, using real-time stream processing and fallback models to generate automated stop-loss and take-profit signals directly on exchanges like Binance.</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AI-Hedge-Fund:</w:t>
      </w:r>
      <w:r w:rsidDel="00000000" w:rsidR="00000000" w:rsidRPr="00000000">
        <w:rPr>
          <w:rtl w:val="0"/>
        </w:rPr>
        <w:t xml:space="preserve"> Connects specialized technical, sentiment, and news agents through LangChain, utilizing multi-agent reasoning and strategy ensembling to output explainable trading signals.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TradingGPT:</w:t>
      </w:r>
      <w:r w:rsidDel="00000000" w:rsidR="00000000" w:rsidRPr="00000000">
        <w:rPr>
          <w:rtl w:val="0"/>
        </w:rPr>
        <w:t xml:space="preserve"> Integrates layered memories and agent personas with a multi-agent debate protocol, forcing agents to debate and verify their reflections and action proposals to increase trading decision robustness.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firm-mimicking agent design is fully realized in the open-source FinRobot platform. Structured into four operational layers, FinRobot automates data processing, strategy development, and portfolio allocation. The DataOps layer utilizes Retrieval-Augmented Generation (RAG) and multi-source adapters to continuously ingest SEC filings, social streams, and market APIs. The LLMOps layer deploys a Smart Scheduler to coordinate agent workflows while optimizing token budgets and ensuring data security.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core is the Financial AI Agents layer, which formulates a Financial Chain-of-Thought (CoT) through three specialized agents :</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Data-CoT Agent:</w:t>
      </w:r>
      <w:r w:rsidDel="00000000" w:rsidR="00000000" w:rsidRPr="00000000">
        <w:rPr>
          <w:rtl w:val="0"/>
        </w:rPr>
        <w:t xml:space="preserve"> Autonomously aggregates and cleans structured pricing and unstructured textual data.</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Concept-CoT Agent:</w:t>
      </w:r>
      <w:r w:rsidDel="00000000" w:rsidR="00000000" w:rsidRPr="00000000">
        <w:rPr>
          <w:rtl w:val="0"/>
        </w:rPr>
        <w:t xml:space="preserve"> Mimics professional financial analysis, synthesizing the cleaned data to extract qualitative concepts and actionable insights.</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Thesis-CoT Agent:</w:t>
      </w:r>
      <w:r w:rsidDel="00000000" w:rsidR="00000000" w:rsidRPr="00000000">
        <w:rPr>
          <w:rtl w:val="0"/>
        </w:rPr>
        <w:t xml:space="preserve"> Translates these qualitative concepts into a formal investment thesis, producing realistic risk assessments, valuation metrics, and directional trading signals.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Microstructural Strategies: Grid Trading, Market Making, and Statistical Arbitrage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State-of-the-art crypto bots do not run in isolation; they integrate deep learning and reinforcement learning models directly with classic microstructural trading strategies.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Dynamic Grid Trading Optimization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grid trading places buy and sell limit orders at rigid intervals within a predefined price range, earning consistent profits in range-bound markets but suffering massive drawdowns during strong trends. Advanced frameworks optimize this parameter selection by deploying sequence models (such as LSTMs) to dynamically adjust the grid range, interval spacing, and position sizing in response to shifting market regimes.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 ingests four key technical inputs :</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Trend (120-day Moving Average):</w:t>
      </w:r>
      <w:r w:rsidDel="00000000" w:rsidR="00000000" w:rsidRPr="00000000">
        <w:rPr>
          <w:rtl w:val="0"/>
        </w:rPr>
        <w:t xml:space="preserve"> Determines the long-term trend direction. If the MA120 is flat, a neutral grid is deployed; if a strong trend is emerging, the model widens the range, tightens stop-losses, or pauses execution to avoid trading against a breakout.</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Momentum (14-day RSI):</w:t>
      </w:r>
      <w:r w:rsidDel="00000000" w:rsidR="00000000" w:rsidRPr="00000000">
        <w:rPr>
          <w:rtl w:val="0"/>
        </w:rPr>
        <w:t xml:space="preserve"> Gauges mid-term momentum. An overbought RSI shifts the upper boundary of the grid near the current price to capture a pullback, while an oversold RSI prompts lower grid boundaries to capture a rebound.</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Volatility (14-day ATR):</w:t>
      </w:r>
      <w:r w:rsidDel="00000000" w:rsidR="00000000" w:rsidRPr="00000000">
        <w:rPr>
          <w:rtl w:val="0"/>
        </w:rPr>
        <w:t xml:space="preserve"> Controls interval spacing and size. High ATR values indicate wide price swings, prompting the system to expand grid intervals and reduce per-position sizing to lower risk; low ATR values trigger tight spacing to capture minor oscillations.</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Support/Resistance (30-day High/Low):</w:t>
      </w:r>
      <w:r w:rsidDel="00000000" w:rsidR="00000000" w:rsidRPr="00000000">
        <w:rPr>
          <w:rtl w:val="0"/>
        </w:rPr>
        <w:t xml:space="preserve"> Establishes the macro boundaries of the grid, ensuring the trading range aligns with historical key levels.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Reinforcement Learning for Market Making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makers provide liquidity by continuously quoting bid and ask prices around a mid-price, earning the spread but exposing themselves to inventory risk and adverse selection. Modern RL-based market makers build upon classical Avellaneda-Stoikov frameworks, modeling order arrivals as Poisson processes where fill probabilities decay exponentially with distance from the mid-price.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 space consists of time remaining (T-t), current scaled inventory (I_t / I_{max}), and the mid-price (P_{mid}). At each time step, the agent outputs a discrete pair of values representing the spread and the skew. The bid and ask quotes are then derived as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\delta_s represents the half-spread and \delta_k represents the skew. To ensure risk-averse quoting, the reward function penalizes inventory accumulation quadratically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I_t is the active asset inventory and \lambda is the inventory penalty coefficient. Additionally, a heavy terminal inventory penalty is applied if the agent ends the trading session with an open, non-flat position, forcing the model to skew its quotes to attract offsetting trades and return to a flat inventory state.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Statistical Arbitrage and Graph-Clustering Pairs Trading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arbitrage exploits temporary price discrepancies between historically correlated assets, betting on mean reversion. Advanced systems utilize machine learning at every phase of the pairs-trading process. Dimensionality reduction via Principal Component Analysis (PCA) is applied to identify dominant risk factors across thousands of assets, which are then clustered using Density-Based Spatial Clustering of Applications with Noise (DBSCAN). Cointegration tests are subsequently applied to the discovered clusters to extract asset pairs within a 5% significance level.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graph-theoretic clustering algorithms (such as SPONGE sym) are deployed to partition assets into highly correlated cliques, allowing the system to short overperforming assets and go long on underperforming assets relative to the clique mean. Once a cointegrated pair or clique spread is established, an LSTM model is trained on the historical spread to dynamically predict mean-reverting entry and exit thresholds, mitigating model risk in rapidly changing market regimes.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microstructural strategies are supported by execution engines and portfolio rebalancing bots :</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Hummingbot:</w:t>
      </w:r>
      <w:r w:rsidDel="00000000" w:rsidR="00000000" w:rsidRPr="00000000">
        <w:rPr>
          <w:rtl w:val="0"/>
        </w:rPr>
        <w:t xml:space="preserve"> An open-source framework designed to automate market-making and cross-exchange arbitrage strategies, executing high-frequency limit orders and capturing spreads across fragmented order books.</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Shrimpy:</w:t>
      </w:r>
      <w:r w:rsidDel="00000000" w:rsidR="00000000" w:rsidRPr="00000000">
        <w:rPr>
          <w:rtl w:val="0"/>
        </w:rPr>
        <w:t xml:space="preserve"> A portfolio rebalancing platform that automates long-term asset allocation. Shrimpy monitors holdings across multiple exchanges and triggers rebalancing transactions when assets deviate from target allocations (for example, if a target allocation of 50% Bitcoin and 50% Ethereum shifts to 60/40 due to price movements, Shrimpy automatically sells Bitcoin and buys Ethereum to restore the baseline).</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Multi-layered Risk Architectures and Systemic Capital Safeguards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high velocity and 24/7 nature of cryptocurrency spot markets mean that even highly accurate predictive models will eventually fail without robust capital protection mechanisms. Sophisticated bots operate within structured multi-layered risk management systems.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Systematic Position Sizing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sizing is the foundational element of capital preservation. Rather than employing static, fixed-size allocations, professional trading architectures utilize volatility-adjusted, stop-based sizing. The baseline formula used to calculate the physical size of a trade is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calculation ensures that the absolute dollar risk remains constant across all trades, regardless of whether a tight stop is used on a stable asset or a wide stop is deployed on a highly volatile memecoin. Under this framework, when the 14-day ATR rises, the stop-loss distance naturally expands, forcing the position sizing engine to contract the trade size.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protect the trading account from compounding losses across concurrent bots and highly correlated assets, quantitative desks implement a multi-layered allocation hierarchy :</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Per-Trade Risk:</w:t>
      </w:r>
      <w:r w:rsidDel="00000000" w:rsidR="00000000" w:rsidRPr="00000000">
        <w:rPr>
          <w:rtl w:val="0"/>
        </w:rPr>
        <w:t xml:space="preserve"> Capped at 1% to 2% of total capital per individual asset setup.</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Per-Bot Risk:</w:t>
      </w:r>
      <w:r w:rsidDel="00000000" w:rsidR="00000000" w:rsidRPr="00000000">
        <w:rPr>
          <w:rtl w:val="0"/>
        </w:rPr>
        <w:t xml:space="preserve"> Capped at 5% to 10% of total capital across all concurrent positions within a single bot.</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Bot Exposure:</w:t>
      </w:r>
      <w:r w:rsidDel="00000000" w:rsidR="00000000" w:rsidRPr="00000000">
        <w:rPr>
          <w:rtl w:val="0"/>
        </w:rPr>
        <w:t xml:space="preserve"> Capped at 20% to 30% of total capital across all active bot strategies.</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Reserve Capital:</w:t>
      </w:r>
      <w:r w:rsidDel="00000000" w:rsidR="00000000" w:rsidRPr="00000000">
        <w:rPr>
          <w:rtl w:val="0"/>
        </w:rPr>
        <w:t xml:space="preserve"> The remaining 70% to 80% of account capital is held in cash or stablecoins, serving as a buffer to absorb drawdowns and prevent forced liquidations.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Stop-Loss Hierarchies and Anomaly Detection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insulate the system from platform failures, network latency, or API disconnects during market panics, modern risk architectures employ a cascading stop-loss hierarchy :</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 Stop-Loss (Exchange-Side Order):</w:t>
      </w:r>
      <w:r w:rsidDel="00000000" w:rsidR="00000000" w:rsidRPr="00000000">
        <w:rPr>
          <w:rtl w:val="0"/>
        </w:rPr>
        <w:t xml:space="preserve"> This is the primary defensive line. The stop order is placed directly on the exchange's order book, ensuring execution even if the local bot platform, API connectivity, or cloud hosting service suffers an outage.</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Bot-Side Stop-Loss:</w:t>
      </w:r>
      <w:r w:rsidDel="00000000" w:rsidR="00000000" w:rsidRPr="00000000">
        <w:rPr>
          <w:rtl w:val="0"/>
        </w:rPr>
        <w:t xml:space="preserve"> Managed within the local bot software, allowing for dynamic, non-disclosed trailing stops or complex execution logic. This is always backed up by a hard exchange-side stop.</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Time-Based Stop:</w:t>
      </w:r>
      <w:r w:rsidDel="00000000" w:rsidR="00000000" w:rsidRPr="00000000">
        <w:rPr>
          <w:rtl w:val="0"/>
        </w:rPr>
        <w:t xml:space="preserve"> Closes a position if it fails to reach its take-profit target within a set window (e.g., 48 hours for mean-reversion trades), recognizing that the structural assumptions of the trade have decayed.</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Drawdown Circuit Breakers:</w:t>
      </w:r>
      <w:r w:rsidDel="00000000" w:rsidR="00000000" w:rsidRPr="00000000">
        <w:rPr>
          <w:rtl w:val="0"/>
        </w:rPr>
        <w:t xml:space="preserve"> System-level thresholds that automatically pause all bots and execution threads if the portfolio equity experiences severe drawdowns. This halts execution during black swan events, preventing the system from buying into "falling knives" or executing repeatedly during exchange API malfunctions.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Parameter / Control Layer</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Threshold</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System Action</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Justification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Per-Trade Risk</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- 2%</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Auto-scales position via stop-loss distance formula</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Protects account from single-trade catastrophic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Per-Bot Risk Cap</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- 10%</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 halt on new position execution within the bot</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DCA or grid bots from exhausting capital on a single asset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Bot Exposure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- 30%</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Blocks new bot initializations across the portfolio</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 portfolio-wide leverage and systemic exposure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Daily Drawdown Limit</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- 5%</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Software-level pause on all active execution threads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 immediate losses during high-volatility flash crashes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Weekly Drawdown Limit</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- 12%</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API disconnect and bot-deactivation sequence</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Insulates capital from sustained structural model decay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Monthly Drawdown Limit</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- 20%</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system halt; requires manual review</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Triggers complete strategy recalibration and data audits</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drawdown circuit breakers are critical due to the asymmetric mathematics of drawdown recovery. Because capital loss is non-linear, deep drawdowns require exponentially larger gains to return to the original capital baseline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this dynamic, a 10% drawdown requires an 11% recovery; a 30% drawdown requires a 43% recovery; and a 50% drawdown requires a 100% recovery.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modern risk engines run anomaly detection algorithms alongside execution threads, monitoring order book imbalances, bid-ask spread widening, and deviations of spot prices from derivatives pricing to identify high-risk market formations before they trigger execution failures.</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Frictional Realities, Capital Decay, and Performance Benchmarks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wide discrepancy exists between theoretical, backtested performance and the practical realities of live spot trading. In backtesting, transaction costs, execution latency, and order-book depth are frequently simplified or omitted entirely, resulting in highly inflated and unrealistic returns.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live environments, well-configured and disciplined trading bots typically achieve net annual returns in the range of 5% to 25% above a simple buy-and-hold strategy for the target asset. Any marketing claims or retail services promising guaranteed, consistent double-digit monthly returns (such as "10% monthly") are typically deceptive, representing short, heavily overfitted backtest windows or strategies operating outside safe leverage boundaries that inevitably lead to total capital liquidation.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many cases, active trading bots actually underperform buy-and-hold during strong market uptrends, as they capture profits prematurely while continuously paying execution fees. Simply holding Bitcoin from January 2024 to January 2026 yielded an absolute return of over 200% with zero transaction fees or operational risks, a benchmark that many active bots failed to beat when adjusted for opportunity costs and frictional decay.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Frictional costs represent the primary factor eroding algorithmic returns. For high-frequency systems, trading fees, order book spreads, and execution slippage compound rapidly :</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Trading Fees:</w:t>
      </w:r>
      <w:r w:rsidDel="00000000" w:rsidR="00000000" w:rsidRPr="00000000">
        <w:rPr>
          <w:rtl w:val="0"/>
        </w:rPr>
        <w:t xml:space="preserve"> Standard exchange maker/taker charges range from 0.1% to 0.3% per side. A bot executing 50 trades per week at a 0.1% fee per trade accumulates over 5% in transaction costs annually before achieving any net profit.</w:t>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 Book Spread &amp; Slippage:</w:t>
      </w:r>
      <w:r w:rsidDel="00000000" w:rsidR="00000000" w:rsidRPr="00000000">
        <w:rPr>
          <w:rtl w:val="0"/>
        </w:rPr>
        <w:t xml:space="preserve"> Spreads typically range from 0.05% to 0.2%, while market slippage in volatile regimes can add another 0.1% to 0.5% per trade. This erosion is particularly severe for bots trading illiquid, low-market-cap altcoins, where thin books exacerbate market impact.</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On-Chain Transaction &amp; Gas Costs:</w:t>
      </w:r>
      <w:r w:rsidDel="00000000" w:rsidR="00000000" w:rsidRPr="00000000">
        <w:rPr>
          <w:rtl w:val="0"/>
        </w:rPr>
        <w:t xml:space="preserve"> Bots operating directly in Decentralized Finance (DeFi) protocols face severe congestion fees. During high-volume periods, gas fees can range from $2 to $50+ per transaction. To guarantee trade inclusion and avoid execution failure, on-chain bots must pay validator "tips" (priority gas), which can consume 1% to 5% of the total transaction value.</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Subscription Overhead:</w:t>
      </w:r>
      <w:r w:rsidDel="00000000" w:rsidR="00000000" w:rsidRPr="00000000">
        <w:rPr>
          <w:rtl w:val="0"/>
        </w:rPr>
        <w:t xml:space="preserve"> Flat monthly software fees (typically $10 to $100+) heavily penalize smaller accounts. A trader running a bot with a $99/month subscription on a $5,000 account must generate a 23.8% annual return just to break even on the software cost. Consequently, retail bot architectures are rarely cost-effective on capital allocations below $1,000 to $5,000.</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friction is illustrated by a retail portfolio running with a $200 balance, executing 50 trades per day. If each transaction incurs a 0.25% fee and 0.15% in slippage, the daily frictional cost exceeds $4. Even if the underlying predictive model is highly accurate and generates a $5 daily gross profit, the net return is essentially break-even, before accounting for flat subscription costs. High-frequency strategies are therefore only viable for institutional desks with access to exchange maker rebates, zero-fee tiers, and co-located low-latency infrastructure.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models suffer from capacity constraints, where strategies that display strong performance at low capital volumes (such as $50k) decay rapidly when scaled. As trade sizes increase, they exceed the immediate liquidity of the order book, widening spreads and increasing market impact. Models are also vulnerable to overfitting (curve fitting), where parameters are tuned so specifically to historical data that they lose all predictive power when the market experiences a regime shift. Unchecked label noise and historical feature drift in training datasets can also generate persistent false signals.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Conclusions and Actionable System Architecture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build a sustainable, profitable cryptocurrency spot trading bot in the current market regime, quantitative desks must reject simplistic, isolated execution systems and instead build multi-layered, integrated architectures. The ideal system design is organized into four operational layers: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1. Predictive Layer                                                               |</w:t>
        <w:br w:type="textWrapping"/>
        <w:t xml:space="preserve">|    - Time-Series Foundation Model (TimesFM 2.5) for multi-step price drift [span_263](start_span)[span_263](end_span) |</w:t>
        <w:br w:type="textWrapping"/>
        <w:t xml:space="preserve">|    - Performer-BiLSTM with FAVOR+ for low-latency feature extraction        |</w:t>
        <w:br w:type="textWrapping"/>
        <w:t xml:space="preserve">+-----------------------------------------------------------------------------------+</w:t>
        <w:br w:type="textWrapping"/>
        <w:t xml:space="preserve">                                         |</w:t>
        <w:br w:type="textWrapping"/>
        <w:t xml:space="preserve">                                         v</w:t>
        <w:br w:type="textWrapping"/>
        <w:t xml:space="preserve">+-----------------------------------------------------------------------------------+</w:t>
        <w:br w:type="textWrapping"/>
        <w:t xml:space="preserve">| 2. Orchestration Layer                                                            |</w:t>
        <w:br w:type="textWrapping"/>
        <w:t xml:space="preserve">|    - Multi-agent framework (FinMem/FinRobot CoT) for text synthesis [span_264](start_span)[span_264](end_span)[span_265](start_span)[span_265](end_span)|</w:t>
        <w:br w:type="textWrapping"/>
        <w:t xml:space="preserve">|    - FinGPT for real-time, dissemination-aware sentiment analysis          |</w:t>
        <w:br w:type="textWrapping"/>
        <w:t xml:space="preserve">+-----------------------------------------------------------------------------------+</w:t>
        <w:br w:type="textWrapping"/>
        <w:t xml:space="preserve">                                         |</w:t>
        <w:br w:type="textWrapping"/>
        <w:t xml:space="preserve">                                         v</w:t>
        <w:br w:type="textWrapping"/>
        <w:t xml:space="preserve">+--------------------------------------------------------------------------------[span_64](start_span)[span_64](end_span)---+</w:t>
        <w:br w:type="textWrapping"/>
        <w:t xml:space="preserve">| 3. Execution Layer                                                                |</w:t>
        <w:br w:type="textWrapping"/>
        <w:t xml:space="preserve">|    - Continuous DRL (TD3) mapping state vector to position sizing $a_t$    |</w:t>
        <w:br w:type="textWrapping"/>
        <w:t xml:space="preserve">|    - Integrated Hummingbot API for spread capture and quote placement     |</w:t>
        <w:br w:type="textWrapping"/>
        <w:t xml:space="preserve">+-------------------------[span_124](start_span)[span_124](end_span)----------------------------------------------------------+</w:t>
        <w:br w:type="textWrapping"/>
        <w:t xml:space="preserve">                                         |</w:t>
        <w:br w:type="textWrapping"/>
        <w:t xml:space="preserve">                                         v</w:t>
        <w:br w:type="textWrapping"/>
        <w:t xml:space="preserve">+-----------------------------------------------------------------------------------+</w:t>
        <w:br w:type="textWrapping"/>
        <w:t xml:space="preserve">| 4. Risk &amp; Governance L[span_188](start_span)[span_188](end_span)ayer                                                        |</w:t>
        <w:br w:type="textWrapping"/>
        <w:t xml:space="preserve">|    - Volatility-adjusted position sizing &amp; multi-layered stop hierarchies   |</w:t>
        <w:br w:type="textWrapping"/>
        <w:t xml:space="preserve">|    - Drawdown throttles &amp; out-of-sample walk-forward testing protocols     |</w:t>
        <w:br w:type="textWrapping"/>
        <w:t xml:space="preserve">+------------------------------------------------------------------------[span_93](start_span)[span_93](end_span)-----------+</w:t>
        <w:br w:type="textWrapping"/>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separating the core forecasting pipeline from execution and securing both with rigid risk and software controls, quantitative desks can insulate their capital from market manipulation and flash crashes. Trading systems must be treated as production software products, utilizing continuous integration, staged rollouts, and "shadow mode" validation to identify execution drift and slippage before committing live capital. Ultimately, sustainable alpha in cryptocurrency spot markets is not achieved through speculative predictive heuristics, but through microstructural execution efficiency, robust risk constraints, and rigorous cost mitigation.</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Enhancing Reinforcement Learning-Based Crypto Asset Trading ..., https://www.mdpi.com/2079-8954/14/1/111 2. Are Crypto Trading Bots Profitable? 12 Tips to Boost Profits - Goat Funded Trader, https://www.goatfundedtrader.com/blog/are-crypto-trading-bots-profitable 3. From LSTM to GPT-2: Recurrent and Transformer-Based Deep Learning Architectures for Multivariate High-Liquidity Cryptocurrency Price Forecasting - MDPI, https://www.mdpi.com/2073-8994/18/1/32 4. Deep Reinforcement Learning for Stock, Portfolio, and Crypto Trading: Insights and Trends (2020–2025) | Cureus Journals | Article, https://www.cureusjournals.com/articles/12720-deep-reinforcement-learning-for-stock-portfolio-and-crypto-trading-insights-and-trends-2020-2025 5. An End-To-End LLM Enhanced Trading System - arXiv, https://arxiv.org/html/2502.01574v1 6. The Impact of AI on Crypto Trading and Market Making - DWF Labs, https://www.dwf-labs.com/news/the-impact-of-ai-on-crypto-trading-and-market-making 7. From LSTM to GPT-2: Recurrent and Transformer-Based Deep Learning Architectures for Multivariate High-Liquidity Cryptocurrency Price Forecasting - Preprints.org, https://www.preprints.org/manuscript/202511.2134 8. The Red Queen's Trap: Limits of Deep Evolution in High-Frequency Trading - arXiv, https://arxiv.org/html/2512.15732 9. Time-Series Transformer for Predicting Bitcoin Price - ResearchGate, https://www.researchgate.net/publication/394821616_Time-Series_Transformer_for_Predicting_Bitcoin_Price 10. Enhancing Price Prediction in Cryptocurrency Using Transformer Neural Network and Technical Indicators - arXiv, https://arxiv.org/pdf/2403.03606 11. Re(Visiting) Time Series Foundation Models in Finance - arXiv, https://arxiv.org/html/2511.18578v1 12. Adaptive Temporal Fusion Transformers for Cryptocurrency Price Prediction - arXiv, https://arxiv.org/html/2509.10542v1 13. Exploring TimesFM: The Foundation Model That Understands the Language of Time, https://codemaker2016.medium.com/exploring-timesfm-the-foundation-model-that-understands-the-language-of-time-57486ebca761 14. Time Series Foundation Models: Use Cases &amp; Benefits - AIMultiple, https://aimultiple.com/time-series-foundation-models 15. google-research/timesfm: TimesFM (Time Series Foundation Model) is a pretrained time-series foundation model developed by Google Research for time-series forecasting. - GitHub, https://github.com/google-research/timesfm 16. Time series foundation models can be few-shot learners - Google Research, https://research.google/blog/time-series-foundation-models-can-be-few-shot-learners/ 17. FinCast: A Foundation Model for Financial Time-Series Forecasting - arXiv, https://arxiv.org/html/2508.19609v1 18. ebrahimpichka/DeepRL-trade: Algorithmic Trading Using Deep Reinforcement Learning algorithms (PPO and DQN) - GitHub, https://github.com/ebrahimpichka/DeepRL-trade 19. Reinforcement Learning (Multi‑level Deep Q‑Networks) for Bitcoin trading strategies? : r/algotrading - Reddit, https://www.reddit.com/r/algotrading/comments/1i0c2qx/reinforcement_learning_multilevel_deep_qnetworks/ 20. Deep Reinforcement Learning in Cryptocurrency Trading: A Profitable Approach, https://www.researchgate.net/publication/384468839_Deep_Reinforcement_Learning_in_Cryptocurrency_Trading_A_Profitable_Approach 21. A comparative study of Bitcoin and Ripple cryptocurrencies trading using Deep Reinforcement Learning algorithms - arXiv, https://arxiv.org/html/2505.07660v2 22. Sentiment Analysis and Cryptocurrency Price Prediction: A Multidisciplinary Review, https://medium.com/@gwrx2005/sentiment-analysis-and-cryptocurrency-price-prediction-a-multidisciplinary-review-8696c97a5ea2 23. Cryptocurrency Trading Bot with Sentimental Analysis and Backtracking Using Predictive ML - R Discovery, https://discovery.researcher.life/article/cryptocurrency-trading-bot-with-sentimental-analysis-and-backtracking-using-predictive-ml/010880fb97ca3f1bbd98d5ae335b61b8 24. Large Language Models in equity markets: applications, techniques, and insights - Frontiers, https://www.frontiersin.org/journals/artificial-intelligence/articles/10.3389/frai.2025.1608365/full 25. FinGPT: Enhancing Sentiment-Based Stock Movement Prediction ..., https://ideas.repec.org/p/arx/papers/2412.10823.html 26. Comparing LLM-Based Trading Bots: AI Agents, Techniques, and Results in Automated Trading | FlowHunt, https://www.flowhunt.io/blog/llm-trading-bots-comparison/ 27. Large Language Model Agent in Financial Trading: A Survey - arXiv, https://arxiv.org/html/2408.06361v2 28. FinRobot - AI Agent Store, https://aiagentstore.ai/ai-agent/finrobot 29. FinRobot: An Open-Source AI Agent Platform for Financial Applications using Large Language Models - arXiv, https://arxiv.org/html/2405.14767v2 30. FinRobot — an open platform of AI agents for finance. - Jimmy Song, https://jimmysong.io/ai/finrobot/ 31. Finrobot: Features, Use Cases &amp; Alternatives - Metaschool, https://metaschool.so/ai-agents/finrobot 32. FinRobot: AI Agent for Equity Research and Valuation with Large Language Models, https://ideas.repec.org/p/arx/papers/2411.08804.html 33. Top Trading Algo Bots: Automating Your Trading Strategy - Bookmap, https://bookmap.com/blog/top-trading-algo-bots-automating-your-trading-strategy 34. Top 20 Trading Bot Strategies for 2026 - QuantVPS, https://www.quantvps.com/blog/trading-bot-strategies 35. Optimizing Grid Trading Parameters with Technical Indicators and AI ..., https://medium.com/@gwrx2005/optimizing-grid-trading-parameters-with-technical-indicators-and-ai-a-framework-for-explainable-f7bcc50d754d 36. Reinforcement Learning in Market Making - QuestDB, https://questdb.com/glossary/reinforcement-learning-in-market-making/ 37. Reinforcement Learning Market Maker | by Rohan Azad | Medium, https://medium.com/@rohan.azad.ibn/reinforcement-learning-market-maker-36642172b9d8 38. Statistical Arbitrage: Strategies, Examples, and Risks - dYdX, https://www.dydx.xyz/crypto-learning/statistical-arbitrage 39. Statistical Arbitrage by Pair Trading using Clustering and Machine Learning. - Israel Diego, https://israeldi.github.io/coursework/EECS545/Final_Project_Poster.pdf 40. Statistical arbitrage in multi-pair trading strategy based on graph clustering algorithms in US equities market - arXiv, https://arxiv.org/html/2406.10695v1 41. How AI Bots Manage Risk in Crypto Trading - Breaking The Lines, https://breakingthelines.com/opinion/how-ai-bots-manage-risk-in-crypto-trading/ 42. AI Crypto Trading Bot Risk Management 2026: Stops &amp; Sizing - Altrady, https://www.altrady.com/blog/crypto-bots/ai-crypto-trading-bot-risk-management 43. Dynamic Position Sizing: 7 Pro Tips to Master Risk in Crypto Trading - Altrady, https://www.altrady.com/blog/crypto-paper-trading/risk-management-seven-tips 44. Dynamic Position Sizing and Risk Management in Volatile Markets, https://internationaltradinginstitute.com/blog/dynamic-position-sizing-and-risk-management-in-volatile-markets/ 45. Are AI Crypto Trading Bots Profitable in 2026? Honest Data - Altrady, https://www.altrady.com/blog/crypto-bots/are-ai-crypto-trading-bots-profitable-2026 46. AI Trading Bot Performance: Complete Backtesting and Metrics Analysis - 3Commas, https://3commas.io/blog/ai-trading-bot-performance-analysis 47. Is AI Trading Profitable? All You Need to Know - Goat Funded Trader, https://www.goatfundedtrader.com/blog/is-ai-trading-profitable 48. Crypto Trading Bots in 2026: Are They Really Worth It? - Coincub, https://coincub.com/blog/are-crypto-trading-bots-worth-it/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