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🧮 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</w:t>
      </w:r>
    </w:p>
    <w:p>
      <w:pPr>
        <w:spacing w:after="160"/>
      </w:pPr>
      <w:r>
        <w:t xml:space="preserve">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Idea</w:t>
      </w:r>
    </w:p>
    <w:p>
      <w:pPr>
        <w:spacing w:after="160"/>
      </w:pPr>
    </w:p>
    <w:p>
      <w:pPr>
        <w:spacing w:after="160"/>
      </w:pPr>
      <w:r>
        <w:t xml:space="preserve">&gt; 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🔢 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</w:t>
      </w:r>
    </w:p>
    <w:p>
      <w:pPr>
        <w:spacing w:after="160"/>
      </w:pPr>
      <w:r>
        <w:t xml:space="preserve">Each locker holds one item (for example, a number).</w:t>
      </w:r>
    </w:p>
    <w:p>
      <w:pPr>
        <w:spacing w:after="160"/>
      </w:pPr>
      <w:r>
        <w:t xml:space="preserve">If you know the locker’s number (index), you can immediately access or update its content—this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coordinates).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loops.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etc.).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2025-11-18T07:23:20.125Z</dcterms:created>
  <dcterms:modified xsi:type="dcterms:W3CDTF">2025-11-18T07:23:20.125Z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