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Relational vs NoSQL Databases Comparison</w:t>
      </w:r>
    </w:p>
    <w:p>
      <w:pPr>
        <w:pStyle w:val="BodyText"/>
      </w:pPr>
      <w:r>
        <w:t xml:space="preserve">Overview</w:t>
      </w:r>
    </w:p>
    <w:p>
      <w:pPr>
        <w:pStyle w:val="BodyText"/>
      </w:pPr>
      <w:r>
        <w:t xml:space="preserve">Relational and NoSQL databases represent two major categories of data storage solutions, each suited to different use cases, performance requirements, and data models.</w:t>
      </w:r>
    </w:p>
    <w:p>
      <w:pPr>
        <w:pStyle w:val="BodyText"/>
      </w:pPr>
      <w:r>
        <w:t xml:space="preserve">Relational Databases (SQL)</w:t>
      </w:r>
    </w:p>
    <w:p>
      <w:pPr>
        <w:pStyle w:val="BodyText"/>
      </w:pPr>
      <w:r>
        <w:t xml:space="preserve">Characteristics</w:t>
      </w:r>
    </w:p>
    <w:p>
      <w:pPr>
        <w:numPr>
          <w:ilvl w:val="0"/>
          <w:numId w:val="1001"/>
        </w:numPr>
        <w:pStyle w:val="Compact"/>
      </w:pPr>
      <w:r>
        <w:t xml:space="preserve">Structured data organized into tables (rows and columns)</w:t>
      </w:r>
    </w:p>
    <w:p>
      <w:pPr>
        <w:numPr>
          <w:ilvl w:val="0"/>
          <w:numId w:val="1001"/>
        </w:numPr>
        <w:pStyle w:val="Compact"/>
      </w:pPr>
      <w:r>
        <w:t xml:space="preserve">Schema-defined relationships between tables</w:t>
      </w:r>
    </w:p>
    <w:p>
      <w:pPr>
        <w:numPr>
          <w:ilvl w:val="0"/>
          <w:numId w:val="1001"/>
        </w:numPr>
        <w:pStyle w:val="Compact"/>
      </w:pPr>
      <w:r>
        <w:t xml:space="preserve">Support for ACID (Atomicity, Consistency, Isolation, Durability) transactions</w:t>
      </w:r>
    </w:p>
    <w:p>
      <w:pPr>
        <w:numPr>
          <w:ilvl w:val="0"/>
          <w:numId w:val="1001"/>
        </w:numPr>
        <w:pStyle w:val="Compact"/>
      </w:pPr>
      <w:r>
        <w:t xml:space="preserve">Use of SQL (Structured Query Language) for data manipulation and querying</w:t>
      </w:r>
    </w:p>
    <w:p>
      <w:pPr>
        <w:pStyle w:val="FirstParagraph"/>
      </w:pPr>
      <w:r>
        <w:t xml:space="preserve">Advantages</w:t>
      </w:r>
    </w:p>
    <w:p>
      <w:pPr>
        <w:numPr>
          <w:ilvl w:val="0"/>
          <w:numId w:val="1002"/>
        </w:numPr>
        <w:pStyle w:val="Compact"/>
      </w:pPr>
      <w:r>
        <w:t xml:space="preserve">Strong data integrity and consistency</w:t>
      </w:r>
    </w:p>
    <w:p>
      <w:pPr>
        <w:numPr>
          <w:ilvl w:val="0"/>
          <w:numId w:val="1002"/>
        </w:numPr>
        <w:pStyle w:val="Compact"/>
      </w:pPr>
      <w:r>
        <w:t xml:space="preserve">Complex query capabilities</w:t>
      </w:r>
    </w:p>
    <w:p>
      <w:pPr>
        <w:numPr>
          <w:ilvl w:val="0"/>
          <w:numId w:val="1002"/>
        </w:numPr>
        <w:pStyle w:val="Compact"/>
      </w:pPr>
      <w:r>
        <w:t xml:space="preserve">Standardized and widely supported</w:t>
      </w:r>
    </w:p>
    <w:p>
      <w:pPr>
        <w:pStyle w:val="FirstParagraph"/>
      </w:pPr>
      <w:r>
        <w:t xml:space="preserve">Disadvantages</w:t>
      </w:r>
    </w:p>
    <w:p>
      <w:pPr>
        <w:numPr>
          <w:ilvl w:val="0"/>
          <w:numId w:val="1003"/>
        </w:numPr>
        <w:pStyle w:val="Compact"/>
      </w:pPr>
      <w:r>
        <w:t xml:space="preserve">Limited scalability for massive, distributed systems</w:t>
      </w:r>
    </w:p>
    <w:p>
      <w:pPr>
        <w:numPr>
          <w:ilvl w:val="0"/>
          <w:numId w:val="1003"/>
        </w:numPr>
        <w:pStyle w:val="Compact"/>
      </w:pPr>
      <w:r>
        <w:t xml:space="preserve">Rigid schema makes handling unstructured data difficult</w:t>
      </w:r>
    </w:p>
    <w:p>
      <w:pPr>
        <w:pStyle w:val="FirstParagraph"/>
      </w:pPr>
      <w:r>
        <w:t xml:space="preserve">Common Examples</w:t>
      </w:r>
    </w:p>
    <w:p>
      <w:pPr>
        <w:numPr>
          <w:ilvl w:val="0"/>
          <w:numId w:val="1004"/>
        </w:numPr>
        <w:pStyle w:val="Compact"/>
      </w:pPr>
      <w:r>
        <w:t xml:space="preserve">MySQL</w:t>
      </w:r>
    </w:p>
    <w:p>
      <w:pPr>
        <w:numPr>
          <w:ilvl w:val="0"/>
          <w:numId w:val="1004"/>
        </w:numPr>
        <w:pStyle w:val="Compact"/>
      </w:pPr>
      <w:r>
        <w:t xml:space="preserve">PostgreSQL</w:t>
      </w:r>
    </w:p>
    <w:p>
      <w:pPr>
        <w:numPr>
          <w:ilvl w:val="0"/>
          <w:numId w:val="1004"/>
        </w:numPr>
        <w:pStyle w:val="Compact"/>
      </w:pPr>
      <w:r>
        <w:t xml:space="preserve">Microsoft SQL Server</w:t>
      </w:r>
    </w:p>
    <w:p>
      <w:pPr>
        <w:numPr>
          <w:ilvl w:val="0"/>
          <w:numId w:val="1004"/>
        </w:numPr>
        <w:pStyle w:val="Compact"/>
      </w:pPr>
      <w:r>
        <w:t xml:space="preserve">Oracle Database</w:t>
      </w:r>
    </w:p>
    <w:p>
      <w:pPr>
        <w:pStyle w:val="FirstParagraph"/>
      </w:pPr>
      <w:r>
        <w:t xml:space="preserve">NoSQL Databases</w:t>
      </w:r>
    </w:p>
    <w:p>
      <w:pPr>
        <w:pStyle w:val="BodyText"/>
      </w:pPr>
      <w:r>
        <w:t xml:space="preserve">Characteristics</w:t>
      </w:r>
    </w:p>
    <w:p>
      <w:pPr>
        <w:numPr>
          <w:ilvl w:val="0"/>
          <w:numId w:val="1005"/>
        </w:numPr>
        <w:pStyle w:val="Compact"/>
      </w:pPr>
      <w:r>
        <w:t xml:space="preserve">Schema-less or flexible schema designs</w:t>
      </w:r>
    </w:p>
    <w:p>
      <w:pPr>
        <w:numPr>
          <w:ilvl w:val="0"/>
          <w:numId w:val="1005"/>
        </w:numPr>
        <w:pStyle w:val="Compact"/>
      </w:pPr>
      <w:r>
        <w:t xml:space="preserve">Designed to handle unstructured, semi-structured, or rapidly evolving data</w:t>
      </w:r>
    </w:p>
    <w:p>
      <w:pPr>
        <w:numPr>
          <w:ilvl w:val="0"/>
          <w:numId w:val="1005"/>
        </w:numPr>
        <w:pStyle w:val="Compact"/>
      </w:pPr>
      <w:r>
        <w:t xml:space="preserve">Support for eventual consistency over strict ACID compliance in many implementations</w:t>
      </w:r>
    </w:p>
    <w:p>
      <w:pPr>
        <w:numPr>
          <w:ilvl w:val="0"/>
          <w:numId w:val="1005"/>
        </w:numPr>
        <w:pStyle w:val="Compact"/>
      </w:pPr>
      <w:r>
        <w:t xml:space="preserve">Multiple types: document, key-value, column-family, and graph databases</w:t>
      </w:r>
    </w:p>
    <w:p>
      <w:pPr>
        <w:pStyle w:val="FirstParagraph"/>
      </w:pPr>
      <w:r>
        <w:t xml:space="preserve">Advantages</w:t>
      </w:r>
    </w:p>
    <w:p>
      <w:pPr>
        <w:numPr>
          <w:ilvl w:val="0"/>
          <w:numId w:val="1006"/>
        </w:numPr>
        <w:pStyle w:val="Compact"/>
      </w:pPr>
      <w:r>
        <w:t xml:space="preserve">Highly scalable and distributed by design</w:t>
      </w:r>
    </w:p>
    <w:p>
      <w:pPr>
        <w:numPr>
          <w:ilvl w:val="0"/>
          <w:numId w:val="1006"/>
        </w:numPr>
        <w:pStyle w:val="Compact"/>
      </w:pPr>
      <w:r>
        <w:t xml:space="preserve">Flexible data models</w:t>
      </w:r>
    </w:p>
    <w:p>
      <w:pPr>
        <w:numPr>
          <w:ilvl w:val="0"/>
          <w:numId w:val="1006"/>
        </w:numPr>
        <w:pStyle w:val="Compact"/>
      </w:pPr>
      <w:r>
        <w:t xml:space="preserve">Better suited for large-scale, high-velocity data environments</w:t>
      </w:r>
    </w:p>
    <w:p>
      <w:pPr>
        <w:pStyle w:val="FirstParagraph"/>
      </w:pPr>
      <w:r>
        <w:t xml:space="preserve">Disadvantages</w:t>
      </w:r>
    </w:p>
    <w:p>
      <w:pPr>
        <w:numPr>
          <w:ilvl w:val="0"/>
          <w:numId w:val="1007"/>
        </w:numPr>
        <w:pStyle w:val="Compact"/>
      </w:pPr>
      <w:r>
        <w:t xml:space="preserve">Weaker consistency guarantees in some models</w:t>
      </w:r>
    </w:p>
    <w:p>
      <w:pPr>
        <w:numPr>
          <w:ilvl w:val="0"/>
          <w:numId w:val="1007"/>
        </w:numPr>
        <w:pStyle w:val="Compact"/>
      </w:pPr>
      <w:r>
        <w:t xml:space="preserve">Query capabilities may be limited compared to SQL</w:t>
      </w:r>
    </w:p>
    <w:p>
      <w:pPr>
        <w:numPr>
          <w:ilvl w:val="0"/>
          <w:numId w:val="1007"/>
        </w:numPr>
        <w:pStyle w:val="Compact"/>
      </w:pPr>
      <w:r>
        <w:t xml:space="preserve">Lack of standardization across NoSQL systems</w:t>
      </w:r>
    </w:p>
    <w:p>
      <w:pPr>
        <w:pStyle w:val="FirstParagraph"/>
      </w:pPr>
      <w:r>
        <w:t xml:space="preserve">Common Examples</w:t>
      </w:r>
    </w:p>
    <w:p>
      <w:pPr>
        <w:numPr>
          <w:ilvl w:val="0"/>
          <w:numId w:val="1008"/>
        </w:numPr>
        <w:pStyle w:val="Compact"/>
      </w:pPr>
      <w:r>
        <w:t xml:space="preserve">MongoDB (Document)</w:t>
      </w:r>
    </w:p>
    <w:p>
      <w:pPr>
        <w:numPr>
          <w:ilvl w:val="0"/>
          <w:numId w:val="1008"/>
        </w:numPr>
        <w:pStyle w:val="Compact"/>
      </w:pPr>
      <w:r>
        <w:t xml:space="preserve">Cassandra (Column-family)</w:t>
      </w:r>
    </w:p>
    <w:p>
      <w:pPr>
        <w:numPr>
          <w:ilvl w:val="0"/>
          <w:numId w:val="1008"/>
        </w:numPr>
        <w:pStyle w:val="Compact"/>
      </w:pPr>
      <w:r>
        <w:t xml:space="preserve">Redis (Key-value)</w:t>
      </w:r>
    </w:p>
    <w:p>
      <w:pPr>
        <w:numPr>
          <w:ilvl w:val="0"/>
          <w:numId w:val="1008"/>
        </w:numPr>
        <w:pStyle w:val="Compact"/>
      </w:pPr>
      <w:r>
        <w:t xml:space="preserve">Neo4j (Graph)</w:t>
      </w:r>
    </w:p>
    <w:p>
      <w:pPr>
        <w:pStyle w:val="FirstParagraph"/>
      </w:pPr>
      <w:r>
        <w:t xml:space="preserve">Comparison Summary</w:t>
      </w:r>
    </w:p>
    <w:p>
      <w:pPr>
        <w:pStyle w:val="BodyText"/>
      </w:pPr>
      <w:r>
        <w:t xml:space="preserve">Feature</w:t>
      </w:r>
    </w:p>
    <w:p>
      <w:pPr>
        <w:pStyle w:val="BodyText"/>
      </w:pPr>
      <w:r>
        <w:t xml:space="preserve">Relational Databases</w:t>
      </w:r>
    </w:p>
    <w:p>
      <w:pPr>
        <w:numPr>
          <w:ilvl w:val="0"/>
          <w:numId w:val="1009"/>
        </w:numPr>
        <w:pStyle w:val="Compact"/>
      </w:pPr>
      <w:r>
        <w:t xml:space="preserve">Data Model: Structured (tables)</w:t>
      </w:r>
    </w:p>
    <w:p>
      <w:pPr>
        <w:numPr>
          <w:ilvl w:val="0"/>
          <w:numId w:val="1009"/>
        </w:numPr>
        <w:pStyle w:val="Compact"/>
      </w:pPr>
      <w:r>
        <w:t xml:space="preserve">Query Language: SQL</w:t>
      </w:r>
    </w:p>
    <w:p>
      <w:pPr>
        <w:numPr>
          <w:ilvl w:val="0"/>
          <w:numId w:val="1009"/>
        </w:numPr>
        <w:pStyle w:val="Compact"/>
      </w:pPr>
      <w:r>
        <w:t xml:space="preserve">Transactions: ACID</w:t>
      </w:r>
    </w:p>
    <w:p>
      <w:pPr>
        <w:numPr>
          <w:ilvl w:val="0"/>
          <w:numId w:val="1009"/>
        </w:numPr>
        <w:pStyle w:val="Compact"/>
      </w:pPr>
      <w:r>
        <w:t xml:space="preserve">Scalability: Vertical</w:t>
      </w:r>
    </w:p>
    <w:p>
      <w:pPr>
        <w:numPr>
          <w:ilvl w:val="0"/>
          <w:numId w:val="1009"/>
        </w:numPr>
        <w:pStyle w:val="Compact"/>
      </w:pPr>
      <w:r>
        <w:t xml:space="preserve">Use Cases: Enterprise systems, financial applications</w:t>
      </w:r>
    </w:p>
    <w:p>
      <w:pPr>
        <w:pStyle w:val="FirstParagraph"/>
      </w:pPr>
      <w:r>
        <w:t xml:space="preserve">NoSQL Databases</w:t>
      </w:r>
    </w:p>
    <w:p>
      <w:pPr>
        <w:numPr>
          <w:ilvl w:val="0"/>
          <w:numId w:val="1010"/>
        </w:numPr>
        <w:pStyle w:val="Compact"/>
      </w:pPr>
      <w:r>
        <w:t xml:space="preserve">Data Model: Flexible / schema-less</w:t>
      </w:r>
    </w:p>
    <w:p>
      <w:pPr>
        <w:numPr>
          <w:ilvl w:val="0"/>
          <w:numId w:val="1010"/>
        </w:numPr>
        <w:pStyle w:val="Compact"/>
      </w:pPr>
      <w:r>
        <w:t xml:space="preserve">Query Language: Varies (proprietary or API-based)</w:t>
      </w:r>
    </w:p>
    <w:p>
      <w:pPr>
        <w:numPr>
          <w:ilvl w:val="0"/>
          <w:numId w:val="1010"/>
        </w:numPr>
        <w:pStyle w:val="Compact"/>
      </w:pPr>
      <w:r>
        <w:t xml:space="preserve">Transactions: Often eventual consistency</w:t>
      </w:r>
    </w:p>
    <w:p>
      <w:pPr>
        <w:numPr>
          <w:ilvl w:val="0"/>
          <w:numId w:val="1010"/>
        </w:numPr>
        <w:pStyle w:val="Compact"/>
      </w:pPr>
      <w:r>
        <w:t xml:space="preserve">Scalability: Horizontal</w:t>
      </w:r>
    </w:p>
    <w:p>
      <w:pPr>
        <w:numPr>
          <w:ilvl w:val="0"/>
          <w:numId w:val="1010"/>
        </w:numPr>
        <w:pStyle w:val="Compact"/>
      </w:pPr>
      <w:r>
        <w:t xml:space="preserve">Use Cases: Big data, real-time analytics, IoT</w:t>
      </w:r>
    </w:p>
    <w:p>
      <w:pPr>
        <w:pStyle w:val="FirstParagraph"/>
      </w:pPr>
      <w:r>
        <w:t xml:space="preserve">Choosing the Right Database</w:t>
      </w:r>
    </w:p>
    <w:p>
      <w:pPr>
        <w:pStyle w:val="BodyText"/>
      </w:pPr>
      <w:r>
        <w:t xml:space="preserve">The selection depends on the nature of the application:</w:t>
      </w:r>
      <w:r>
        <w:t xml:space="preserve"> </w:t>
      </w:r>
      <w:r>
        <w:t xml:space="preserve">- Choose Relational databases for transactional integrity, strict schema, and complex queries.</w:t>
      </w:r>
      <w:r>
        <w:t xml:space="preserve"> </w:t>
      </w:r>
      <w:r>
        <w:t xml:space="preserve">- Choose NoSQL databases for scalability, flexible data structure, and rapid development of large, distributed systems.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2025-12-18T12:18:01Z</dcterms:created>
  <dcterms:modified xsi:type="dcterms:W3CDTF">2025-12-18T12:18:01Z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