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Automag India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From invisible in search to 45-50 qualified B2B leads a month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Automag India had a website.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the website was not yet working like a business channel.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 keywords in Google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nl-NL"/>
        </w:rPr>
        <w:t>s Top 10.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Only 1-2 inbound B2B leads a month.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High-intent conveyor searches were not showing Automag anywhere.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gap was clear.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Automag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buyers were searching.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Automag was not visible enough to meet them.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under four months, focused B2B SEO helped turn that gap into a lead-generation engine.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challenge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Automag was not visible where it needed to be.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website had four clear problems: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Zero search visibility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 keywords were ranking in Google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nl-NL"/>
        </w:rPr>
        <w:t>s Top 10.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Minimal lead generation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website was bringing in only 1-2 inbound B2B leads per month.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Misaligned traffic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career page was the biggest traffic driver instead of revenue-driving product pages.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Poor product discovery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High-intent product queries, including conveyor searches, were not showing Automag anywhere.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objective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strong organic visibility.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Attract qualified B2B buyers.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Convert the website into a reliable lead-generation channel.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strategic shift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was not about getting more traffic for the sake of traffic.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was about making Automag visible for searches that had business value.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work focused on connecting Automag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conveyor and automation offerings with high-intent B2B search terms, then improving the website so those visitors could move closer to enquiry.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we did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01. Keyword research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Focused on high-intent B2B search terms mapped to Automag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core conveyor and automation offerings.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02. On-page optimisation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Restructured key pages, refined copy, and aligned metadata with buyer intent.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03. Technical SEO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Improved crawlability, internal linking, and site architecture for better discovery.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04. Content optimisation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Refreshed content to answer real customer questions and push visitors closer to enquiry.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05. Blog and support content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Created supporting resources and interlinking to build topical authority.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06. Monitoring and refinement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Tracked performance, tested improvements, and kept tightening the SEO system as rankings moved.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breakthrough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Between Dec 2024 and Mar 2025, Automag moved from practically invisible to consistently present for high-intent industry searches.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movement was sharp: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Top 50 rankings:</w:t>
      </w:r>
      <w:r>
        <w:rPr>
          <w:rFonts w:ascii="Times Roman" w:hAnsi="Times Roman"/>
          <w:b w:val="0"/>
          <w:bCs w:val="0"/>
          <w:rtl w:val="0"/>
        </w:rPr>
        <w:t xml:space="preserve"> 0% to 75%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nl-NL"/>
        </w:rPr>
        <w:t>Top 20 rankings:</w:t>
      </w:r>
      <w:r>
        <w:rPr>
          <w:rFonts w:ascii="Times Roman" w:hAnsi="Times Roman"/>
          <w:b w:val="0"/>
          <w:bCs w:val="0"/>
          <w:rtl w:val="0"/>
        </w:rPr>
        <w:t xml:space="preserve"> 0% to 50%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Top 10 rankings:</w:t>
      </w:r>
      <w:r>
        <w:rPr>
          <w:rFonts w:ascii="Times Roman" w:hAnsi="Times Roman"/>
          <w:b w:val="0"/>
          <w:bCs w:val="0"/>
          <w:rtl w:val="0"/>
        </w:rPr>
        <w:t xml:space="preserve"> 0% to 25%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High-intent money keywords started appearing on page one.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Organic visibility became a predictable growth lever.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traffic shift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Organic traffic increased by </w:t>
      </w:r>
      <w:r>
        <w:rPr>
          <w:rFonts w:ascii="Times Roman" w:hAnsi="Times Roman"/>
          <w:b w:val="1"/>
          <w:bCs w:val="1"/>
          <w:rtl w:val="0"/>
          <w:lang w:val="en-US"/>
        </w:rPr>
        <w:t>48% in 90 days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the better result was where that traffic started going.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Product, home, and contact pages now drive the bulk of traffic, not the career section.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short, traffic is now aligned with revenue goals instead of vanity metrics.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lead transformation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Before: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1-2 leads per month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After: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45-50 qualified B2B leads per month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That is </w:t>
      </w:r>
      <w:r>
        <w:rPr>
          <w:rFonts w:ascii="Times Roman" w:hAnsi="Times Roman"/>
          <w:b w:val="1"/>
          <w:bCs w:val="1"/>
          <w:rtl w:val="0"/>
          <w:lang w:val="en-US"/>
        </w:rPr>
        <w:t>2,400%+ growth in lead volume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website moved from static brochure to predictable lead-generation engine.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Ranking wins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Automag now ranks on the first page of Google for core commercial keywords such as: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belt conveyor manufacturer</w:t>
      </w:r>
      <w:r>
        <w:rPr>
          <w:rFonts w:ascii="Times Roman" w:hAnsi="Times Roman" w:hint="default"/>
          <w:b w:val="1"/>
          <w:bCs w:val="1"/>
          <w:rtl w:val="0"/>
        </w:rPr>
        <w:t>”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slat conveyor manufacturer</w:t>
      </w:r>
      <w:r>
        <w:rPr>
          <w:rFonts w:ascii="Times Roman" w:hAnsi="Times Roman" w:hint="default"/>
          <w:b w:val="1"/>
          <w:bCs w:val="1"/>
          <w:rtl w:val="0"/>
        </w:rPr>
        <w:t>”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conveyor manufacturer in Pune</w:t>
      </w:r>
      <w:r>
        <w:rPr>
          <w:rFonts w:ascii="Times Roman" w:hAnsi="Times Roman" w:hint="default"/>
          <w:b w:val="1"/>
          <w:bCs w:val="1"/>
          <w:rtl w:val="0"/>
        </w:rPr>
        <w:t>”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impact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Lead generation engine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website is now a consistent source of high-intent B2B enquiries.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Top-ranking authority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Automag now appears prominently for multiple money keywords in its niche.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Sustainable growth driver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Organic traffic now compounds month on month, unlike paid campaigns that stop when budgets do.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takeaway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Focused B2B SEO does not just boost traffic.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changes what the website is capable of.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Automag India, the shift was clear: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From zero online visibility.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To meaningful search presence.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To 45-50 qualified B2B leads a month.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under four months.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Timeline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Month 1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Strategy and SEO foundation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Month 2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Implementation and optimisation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Month 3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Ranking and traffic lift-off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Month 4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Consistent qualified leads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CTA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website may already have the right pages.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The question is whether the right buyers are finding them.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