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DA" w:rsidRDefault="006C4FDA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423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6A5ED4" w:rsidRPr="000E42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b/>
          <w:sz w:val="28"/>
          <w:szCs w:val="28"/>
        </w:rPr>
        <w:t>РАБОТА</w:t>
      </w:r>
      <w:r w:rsidR="006A5ED4" w:rsidRPr="000E42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20F" w:rsidRPr="000E423F">
        <w:rPr>
          <w:rFonts w:ascii="Times New Roman" w:hAnsi="Times New Roman" w:cs="Times New Roman"/>
          <w:b/>
          <w:sz w:val="28"/>
          <w:szCs w:val="28"/>
        </w:rPr>
        <w:t>№</w:t>
      </w:r>
      <w:r w:rsidR="000E423F" w:rsidRPr="000E423F">
        <w:rPr>
          <w:rFonts w:ascii="Times New Roman" w:hAnsi="Times New Roman" w:cs="Times New Roman"/>
          <w:b/>
          <w:sz w:val="28"/>
          <w:szCs w:val="28"/>
        </w:rPr>
        <w:t>6</w:t>
      </w:r>
      <w:r w:rsidRPr="000E423F">
        <w:rPr>
          <w:rFonts w:ascii="Times New Roman" w:hAnsi="Times New Roman" w:cs="Times New Roman"/>
          <w:b/>
          <w:sz w:val="28"/>
          <w:szCs w:val="28"/>
        </w:rPr>
        <w:t>.</w:t>
      </w:r>
      <w:r w:rsidR="006A5ED4" w:rsidRPr="000E42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423F" w:rsidRPr="000E423F">
        <w:rPr>
          <w:rFonts w:ascii="Times New Roman" w:hAnsi="Times New Roman" w:cs="Times New Roman"/>
          <w:b/>
          <w:sz w:val="28"/>
          <w:szCs w:val="28"/>
        </w:rPr>
        <w:t>ЗАЩИТА ЛАБОРАТОРНЫХ РАБОТ. РАСЧЕТ ЗАТУХАНИЯ ПРОХОЖДЕНИЯ И НАПРАВЛЕННОСТИ ДЕЛИТЕЛЯ.</w:t>
      </w:r>
    </w:p>
    <w:p w:rsidR="000E423F" w:rsidRPr="000E423F" w:rsidRDefault="000E423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Цели работы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1.1.  Изучение типовой методики измерения диаграмм направленности антенн СВЧ </w:t>
      </w:r>
    </w:p>
    <w:p w:rsidR="000E423F" w:rsidRPr="000E423F" w:rsidRDefault="000E423F" w:rsidP="000E423F">
      <w:p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1.2. Приобретение практических навыков измерения  диаграмм   направленности  антенн СВЧ </w:t>
      </w:r>
    </w:p>
    <w:p w:rsidR="000E423F" w:rsidRPr="000E423F" w:rsidRDefault="000E423F" w:rsidP="000E423F">
      <w:pPr>
        <w:shd w:val="clear" w:color="auto" w:fill="FFFFFF"/>
        <w:tabs>
          <w:tab w:val="left" w:pos="12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Домашнее задание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Ознакомиться с методикой измерения амплитудных диаграмм направле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ности антенн, используя рекомендуемую литературу.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Основные теоретические сведения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Для пояснения понятия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«диаграмма направленности» (ДН)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рассмотрим излуч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ние элементарного электрического вибратора (диполя Герца), вертикально расположенного в свободном пространстве. Электромагни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ное поле излучения диполя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в дальней зоне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(на расстоянии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до точки наблюд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ния, много большем длины волны излучения </w:t>
      </w:r>
      <w:r w:rsidRPr="000E423F">
        <w:rPr>
          <w:rFonts w:ascii="Times New Roman" w:hAnsi="Times New Roman" w:cs="Times New Roman"/>
          <w:i/>
          <w:iCs/>
          <w:color w:val="000000"/>
          <w:sz w:val="28"/>
          <w:szCs w:val="28"/>
        </w:rPr>
        <w:t>λ</w:t>
      </w:r>
      <w:r w:rsidRPr="000E423F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только меридиональную компоненту вектора напряженности электрического поля с комплексной амплитудой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и азимутальную компоненту вектора напряженности магнитного поля с комплексной амплитудой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φ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, определяемые выр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жениями: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position w:val="-24"/>
          <w:sz w:val="28"/>
          <w:szCs w:val="28"/>
        </w:rPr>
        <w:object w:dxaOrig="23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3pt" o:ole="">
            <v:imagedata r:id="rId7" o:title=""/>
          </v:shape>
          <o:OLEObject Type="Embed" ProgID="Equation.3" ShapeID="_x0000_i1025" DrawAspect="Content" ObjectID="_1769798366" r:id="rId8"/>
        </w:object>
      </w:r>
      <w:r w:rsidRPr="000E423F">
        <w:rPr>
          <w:rFonts w:ascii="Times New Roman" w:hAnsi="Times New Roman" w:cs="Times New Roman"/>
          <w:sz w:val="28"/>
          <w:szCs w:val="28"/>
        </w:rPr>
        <w:t xml:space="preserve">,      </w:t>
      </w:r>
      <w:r w:rsidRPr="000E423F">
        <w:rPr>
          <w:rFonts w:ascii="Times New Roman" w:hAnsi="Times New Roman" w:cs="Times New Roman"/>
          <w:position w:val="-24"/>
          <w:sz w:val="28"/>
          <w:szCs w:val="28"/>
        </w:rPr>
        <w:object w:dxaOrig="2100" w:dyaOrig="660">
          <v:shape id="_x0000_i1026" type="#_x0000_t75" style="width:105pt;height:33pt" o:ole="">
            <v:imagedata r:id="rId9" o:title=""/>
          </v:shape>
          <o:OLEObject Type="Embed" ProgID="Equation.3" ShapeID="_x0000_i1026" DrawAspect="Content" ObjectID="_1769798367" r:id="rId10"/>
        </w:object>
      </w:r>
      <w:r w:rsidRPr="000E423F">
        <w:rPr>
          <w:rFonts w:ascii="Times New Roman" w:hAnsi="Times New Roman" w:cs="Times New Roman"/>
          <w:sz w:val="28"/>
          <w:szCs w:val="28"/>
        </w:rPr>
        <w:t>,                                                 (1)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I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Э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комплексная амплитуда тока, текущего по диполю;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длина диполя;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угол в верт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кальной плоскости между осью вибратора и направлением на точку наблюд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ния М (см. рис. 1);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position w:val="-14"/>
          <w:sz w:val="28"/>
          <w:szCs w:val="28"/>
        </w:rPr>
        <w:object w:dxaOrig="5620" w:dyaOrig="420">
          <v:shape id="_x0000_i1027" type="#_x0000_t75" style="width:281.25pt;height:21pt" o:ole="">
            <v:imagedata r:id="rId11" o:title=""/>
          </v:shape>
          <o:OLEObject Type="Embed" ProgID="Equation.3" ShapeID="_x0000_i1027" DrawAspect="Content" ObjectID="_1769798368" r:id="rId12"/>
        </w:object>
      </w:r>
      <w:r w:rsidRPr="000E423F">
        <w:rPr>
          <w:rFonts w:ascii="Times New Roman" w:hAnsi="Times New Roman" w:cs="Times New Roman"/>
          <w:sz w:val="28"/>
          <w:szCs w:val="28"/>
        </w:rPr>
        <w:t>Ом — волновое сопротивление свободного простра</w:t>
      </w:r>
      <w:r w:rsidRPr="000E423F">
        <w:rPr>
          <w:rFonts w:ascii="Times New Roman" w:hAnsi="Times New Roman" w:cs="Times New Roman"/>
          <w:sz w:val="28"/>
          <w:szCs w:val="28"/>
        </w:rPr>
        <w:t>н</w:t>
      </w:r>
      <w:r w:rsidRPr="000E423F">
        <w:rPr>
          <w:rFonts w:ascii="Times New Roman" w:hAnsi="Times New Roman" w:cs="Times New Roman"/>
          <w:sz w:val="28"/>
          <w:szCs w:val="28"/>
        </w:rPr>
        <w:t>ства.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Средняя за период электромагнитных колебаний плотность потока мо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щ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ности излучения (среднее значение вектора Пойнтинга) 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</w:rPr>
        <w:t>П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</w:rPr>
        <w:t>ср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</w:rPr>
        <w:t>=Е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en-US"/>
        </w:rPr>
        <w:t>m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perscript"/>
        </w:rPr>
        <w:t>2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</w:rPr>
        <w:t>/(2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W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</w:rPr>
        <w:t>0</w:t>
      </w:r>
      <w:r w:rsidRPr="000E423F">
        <w:rPr>
          <w:rFonts w:ascii="Times New Roman" w:hAnsi="Times New Roman" w:cs="Times New Roman"/>
          <w:bCs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bCs/>
          <w:color w:val="000000"/>
          <w:sz w:val="28"/>
          <w:szCs w:val="28"/>
        </w:rPr>
        <w:t>.                                                                                                          (2)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Векторы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П, Е</w:t>
      </w:r>
      <w:r w:rsidRPr="000E42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образуют правовинтовую систему, причем вектор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П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имеет только радиальную компоненту.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Величина напряженности электрического поля диполя зависит от напра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ления в пространстве (см. множитель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sinθ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), т.е. диполь — это простейшая анте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на, обладающая свойством направленности излучения.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3150" cy="1762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Рис. 1. К иллюстрации характеристики направленности                                                           элемента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ного</w:t>
      </w:r>
      <w:r w:rsidRPr="000E423F">
        <w:rPr>
          <w:rFonts w:ascii="Times New Roman" w:hAnsi="Times New Roman" w:cs="Times New Roman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электрического вибратора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Направленность излучения антенны определяется амплитудной характеристикой направленности (АХН),</w:t>
      </w:r>
      <w:r w:rsidRPr="000E423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т.е. зависимостью величины напряженн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сти электрического поля от угловых координат точек наблюдения, находящихся в дальней зоне и равноудаленных от антенны. Для диполя  Герца в соответствии с (1) амплитуда напряженности электрического поля в произвольной точке наблюдения в дальней зоне 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,φ)=А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,φ)‌‌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0E423F">
        <w:rPr>
          <w:rFonts w:ascii="Times New Roman" w:hAnsi="Times New Roman" w:cs="Times New Roman"/>
          <w:position w:val="-24"/>
          <w:sz w:val="28"/>
          <w:szCs w:val="28"/>
        </w:rPr>
        <w:object w:dxaOrig="1200" w:dyaOrig="639">
          <v:shape id="_x0000_i1028" type="#_x0000_t75" style="width:1in;height:38.25pt" o:ole="">
            <v:imagedata r:id="rId14" o:title=""/>
          </v:shape>
          <o:OLEObject Type="Embed" ProgID="Equation.3" ShapeID="_x0000_i1028" DrawAspect="Content" ObjectID="_1769798369" r:id="rId15"/>
        </w:objec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; функция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АХН. В случае вертикального диполя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,φ)=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),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поскольку для пло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костей, в которых расположен вектор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sinθ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, тогда как для плоскости, в которой расположен вектор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)‌‌=1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, т.к. в г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ризонтальной плоскости диполь не обладает направленным действием — 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лучает равномерно во всех направлениях вокруг своей оси. Таким образом, самое интенсивное излучение происходит в направлениях, перпендикулярных оси диполя, тогда как в направлении оси излучение отсутствует.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Графическое изображение АХН называется диаграммой направле</w:t>
      </w:r>
      <w:r w:rsidRPr="000E423F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н</w:t>
      </w:r>
      <w:r w:rsidRPr="000E423F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ности (ДН).</w:t>
      </w:r>
      <w:r w:rsidRPr="000E423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Анализируя направленные свойства антенны, чаще пользуются </w:t>
      </w:r>
      <w:r w:rsidRPr="000E423F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нормированными характеристиками направленности по напряженности поля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 Е(θ,φ)/Е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 |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)|‌/|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)|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‌,                                           (3)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Е(θ,φ) —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напряженности электрического поля в произвольном направлении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(θ,φ)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, а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Е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максимальное значение напряженности электрического поля в направлении наиболее интенсивного излучения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. Очевидно, что максимальное значение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)=1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Для построения ДН остронаправленных антенн часто используют логарифмический масштаб, при этом значения ДН в децибелах (дБ) определяются выражением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дБ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)=20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lg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                                                                                   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(4)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Логарифмический масштаб дает возможность детально изобразить как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главный лепесток (ГЛ)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располагается  направление максимального излучения антенны, так и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боковые лепестки (БЛ)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ДН, характеризующие побочное излучение. 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Нормированная ДН диполя Герца в плоскости Е (рис.  2 а) описывается функцией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)=|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)|‌/|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)|=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|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sinθ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|.                                                                             (5)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Пространственная ДН в виде графика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, построенного в сферической системе координат, представляет собой некоторую фигуру. На практике  для антенн линейной поляризации обычно интересуются ДН в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главных плоскостях, в которых поляризованы векторы Е и 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. ДН изображают, например, в полярной (для диполя — рис. 2 а, б), сферической (для диполя — рис. 2 в) или декартовой си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теме координат (рис. 3). </w:t>
      </w:r>
    </w:p>
    <w:p w:rsidR="000E423F" w:rsidRPr="000E423F" w:rsidRDefault="000E423F" w:rsidP="000E4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9975" cy="1762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23F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E42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1922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3F" w:rsidRPr="000E423F" w:rsidRDefault="000E423F" w:rsidP="000E4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sz w:val="28"/>
          <w:szCs w:val="28"/>
        </w:rPr>
        <w:t xml:space="preserve">        а                                      б                                                в</w:t>
      </w:r>
    </w:p>
    <w:p w:rsidR="000E423F" w:rsidRPr="000E423F" w:rsidRDefault="000E423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sz w:val="28"/>
          <w:szCs w:val="28"/>
        </w:rPr>
        <w:t xml:space="preserve">Рис. 2. ДН диполя Герца: в Е-плоскости (а), в Н-плоскости (б), пространственная (в) 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Рис. 3. Пример ДН произвольной антенны в декартовой системе координат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При анализе направленных свойств антенн СВЧ чаще пользуются нормированной </w:t>
      </w:r>
      <w:r w:rsidRPr="000E423F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характеристикой направленности по мощности излучения</w:t>
      </w:r>
      <w:r w:rsidRPr="000E423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представляющей собой зависимость отношения плотности потока мощности излучения в произвольном направлении к плотности потока мощности в направлении наиболее интенсивного излучения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П(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)/П(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от направления в пространстве; с учетом (2) получается, что нормированная характеристика направленности  антенны по мощности описывается выражением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P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)=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2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).                                          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(6)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Нормированная ДН по мощности в логарифмическом масштабе описывается выражением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РдБ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)=10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lg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Р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,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).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(7)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Пример ДН по мощности в меридиональной плоскости для произвольной антенны приведен на рис. 3, на котором показаны главный (ГЛ) и боковые (БЛ) лепестки ДН, а также отмечены: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ур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вень БЛ (в качестве которого принимается наибольший уровень бок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вых лепестков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БЛ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), а также другие важные параметры —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ширина ДН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, определяемая как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угловая ш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и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рина θ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  <w:vertAlign w:val="subscript"/>
        </w:rPr>
        <w:t>0,5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ГЛ по уровню половинной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мощности излучения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. В ряде случаев интересуются шириной ГЛ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θ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 xml:space="preserve">0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по уровню нулевой мощности.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методики измерений ДН и измерительной установки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Cs/>
          <w:color w:val="000000"/>
          <w:sz w:val="28"/>
          <w:szCs w:val="28"/>
        </w:rPr>
        <w:t>Измерения ДН антенн выполняются либо на открытой площадке, свободной от мешающих предметов, либо в безэховой камере. В первом случае необходимо позаботиться о контроле помеховой обстановки.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399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Рис. 4. Функциональная схема установки для измерения ДН антенн</w:t>
      </w:r>
    </w:p>
    <w:p w:rsidR="000E423F" w:rsidRPr="000E423F" w:rsidRDefault="000E423F" w:rsidP="000E42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Состав измерительной установки (рис. 4): ГСВЧ — генератор колебаний СВЧ, А</w:t>
      </w:r>
      <w:r w:rsidRPr="000E423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прд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передающая п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рамидальная рупорная антенна; А</w:t>
      </w:r>
      <w:r w:rsidRPr="000E423F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прм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— исследуемая приемная антенна (например, измерительная рупорно-линзовая антенна П6-23А); измеритель мощности ИМ представлен  коаксиальной детекторной секцией и осциллографом; С — стойка; ОПУ — опорно-поворотное устройство.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Типовая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методика измерения нормированной ДН антенны по мощности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заключаются в следующем.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принципом взаимности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, иссл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дуемая антенна может использоваться и в режиме излучения, и в режиме при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ма. В данной лабораторной работе она работает в режиме приема. 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Обе антенны — п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редающая и исследуемая (рис. 4) устанавливаются на стойках так, чтобы центры их раскрывов находились на одинаковой высоте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от поверхности земли (пола). С учетом того, что передающая антенна излучает сферические волны, а на поверхности раскрыва исследуемой антенны надо обеспечить синфазное распределение поля, ра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стояние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между центрами раскрывов антенн выбирается с учетом условия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≥2(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+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2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λ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 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(8)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— 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наибольший размер раскрыва передающей антенны;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— наибольший размер раскрыва приемной антенны. При этом фазовый фронт волны, падающей на раскрыв приемной антенны, можно считать практически плоским. 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Пер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дающую антенну целесообразно выбрать такой, чтобы ГЛ ее ДН был не сли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ком узким, т.е. чтобы раскрыв исследуемой антенны облучался равномерно (для антенн СВЧ диапазона в качестве передающей антенны хорошо подходит волноводный излучатель или пирамидальный рупор с коэффиц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ентом направленного действия до 10-15 дБ). Обе антенны должны быть согласованы с соо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ветствующими трактами так, чтобы коэффициенты стоячей волны (КСВ) на р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бочей частоте (в полосе частот) не превышали 1,5-2,0. К выходу исследуемой антенны подключаются приемник, например, измеритель мощности. Приборы прогреваются в течение 30 мин. для ввода в ст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бильный рабочий режим. </w:t>
      </w:r>
      <w:r w:rsidRPr="000E423F">
        <w:rPr>
          <w:rFonts w:ascii="Times New Roman" w:hAnsi="Times New Roman" w:cs="Times New Roman"/>
          <w:b/>
          <w:i/>
          <w:color w:val="000000"/>
          <w:sz w:val="28"/>
          <w:szCs w:val="28"/>
        </w:rPr>
        <w:t>ГСВЧ должен обеспечивать получение колебаний со стабилизированными значениями частоты и мощности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Максимумы ДН антенн ориентируются друг на друга (плоскости поляризации антенн должны совпадать). Уровень выходной мощности ГСВЧ устана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ливается   таким,   чтобы   обеспечивалась   надежная   регистрация мощности принятых колебаний СВЧ.</w:t>
      </w:r>
    </w:p>
    <w:p w:rsidR="000E423F" w:rsidRPr="000E423F" w:rsidRDefault="000E423F" w:rsidP="000E42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Затем исследуемая антенна поворачивается в нужной плоскости с помощью поворотного механизма с требуемым угловым шагом в пределах заданн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го углового сектора, при этом снимается зависимость мощности принятых СВЧ к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лебаний от угла поворота. Для измерения мощности принятых можно использовать ваттметр, анализатор спектра, или, в случае косвенных измерений — полупроводниковый диодный детектор СВЧ колебаний. В последнем случае для большей наглядности удобно включить генератор СВЧ в режиме формирования прямоугольных радиоимпульсов, а к выходу детектора подключить осциллограф; при малой мощности входных колебаний (для большинства детекторных диодов СВЧ — до сотен мкВт) имеет место квадратичное детектирование, выпрямленный СВЧ ток прямо пропорционален мощности входных СВЧ колебаний, поэтому и размах напряжения наблюдаемых прямоугольных видеоимпульсов прямо пропорционален мощности входных СВЧ колебаний.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После завершения измерений рассчитывается нормир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ванная ДН по мощности и строится ее график. Например, для горизонтальной плоскости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P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)= 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φ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)/ Р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en-US"/>
        </w:rPr>
        <w:t>max</w:t>
      </w:r>
      <w:r w:rsidRPr="000E423F">
        <w:rPr>
          <w:rFonts w:ascii="Times New Roman" w:hAnsi="Times New Roman" w:cs="Times New Roman"/>
          <w:i/>
          <w:color w:val="000000"/>
          <w:sz w:val="28"/>
          <w:szCs w:val="28"/>
        </w:rPr>
        <w:t>(φ).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(7)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По построенному графику ДН определяются значения ширины ГЛ и уровня БЛ.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Лабораторные    задания    и    методические    указания    по    их выполнению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5.1. Для заданного значения частоты и известных размеров раскрывов антенн определить минимально допустимое расстояние между антеннами. Сделать вывод о соответствии лабораторных условий критериям дальней зоны.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5.2. Измерить нормированную ДН приемной антенны по мощности в горизонтальной пло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кости. Результаты измерений ДН занести в таблицу, определить ширину ГЛ. 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5.3. Измерить нормированную ДН приемной антенны по мощности в вертикальной пло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кости. Результаты измерений ДН занести в таблицу, определить шир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ну ГЛ.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5.4. Исследовать зависимость мощности принятых СВЧ колебаний от угла поворота приемной антенны вокруг ее продольной оси.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5.5. Сделать выводы по результатам измерений.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Контрольные     вопросы     для     самоподготовки     и     з</w:t>
      </w: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Pr="000E423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щиты лабораторной работы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6.1. Дать определение амплитудной характеристики направленности а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0E423F">
        <w:rPr>
          <w:rFonts w:ascii="Times New Roman" w:hAnsi="Times New Roman" w:cs="Times New Roman"/>
          <w:color w:val="000000"/>
          <w:sz w:val="28"/>
          <w:szCs w:val="28"/>
        </w:rPr>
        <w:t>тенны.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6.2.  Дать определение нормированной характеристики направленности антенны по напряженности поля.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6.3. Дать определение нормированной характеристики направленности антенны  по мощности.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6.4. Дать определение ширины ДН и уровня боковых лепестков.</w:t>
      </w:r>
    </w:p>
    <w:p w:rsidR="000E423F" w:rsidRPr="000E423F" w:rsidRDefault="000E423F" w:rsidP="000E423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6.5. Уметь объяснить методику измерений ДН.</w:t>
      </w:r>
    </w:p>
    <w:p w:rsidR="000E423F" w:rsidRPr="000E423F" w:rsidRDefault="000E423F" w:rsidP="000E42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423F">
        <w:rPr>
          <w:rFonts w:ascii="Times New Roman" w:hAnsi="Times New Roman" w:cs="Times New Roman"/>
          <w:color w:val="000000"/>
          <w:sz w:val="28"/>
          <w:szCs w:val="28"/>
        </w:rPr>
        <w:t>6.6. Уметь объяснить полученные результаты.</w:t>
      </w:r>
    </w:p>
    <w:p w:rsidR="000E423F" w:rsidRPr="000E423F" w:rsidRDefault="000E423F" w:rsidP="000E42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E423F" w:rsidRPr="000E423F" w:rsidRDefault="000E423F" w:rsidP="000E423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E423F">
        <w:rPr>
          <w:rFonts w:ascii="Times New Roman" w:hAnsi="Times New Roman" w:cs="Times New Roman"/>
          <w:b/>
          <w:sz w:val="28"/>
          <w:szCs w:val="28"/>
        </w:rPr>
        <w:t>7. Список рекомендуемой литературы</w:t>
      </w:r>
    </w:p>
    <w:p w:rsidR="000E423F" w:rsidRPr="000E423F" w:rsidRDefault="000E423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23F" w:rsidRPr="000E423F" w:rsidRDefault="000E423F" w:rsidP="000E423F">
      <w:pPr>
        <w:numPr>
          <w:ilvl w:val="0"/>
          <w:numId w:val="5"/>
        </w:numPr>
        <w:tabs>
          <w:tab w:val="num" w:pos="0"/>
          <w:tab w:val="left" w:pos="142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sz w:val="28"/>
          <w:szCs w:val="28"/>
        </w:rPr>
        <w:t>Климов А.И. Антенно-фидерные устройства: учеб. пособие. – Воронеж: Воронежский институт МВД Ро</w:t>
      </w:r>
      <w:r w:rsidRPr="000E423F">
        <w:rPr>
          <w:rFonts w:ascii="Times New Roman" w:hAnsi="Times New Roman" w:cs="Times New Roman"/>
          <w:sz w:val="28"/>
          <w:szCs w:val="28"/>
        </w:rPr>
        <w:t>с</w:t>
      </w:r>
      <w:r w:rsidRPr="000E423F">
        <w:rPr>
          <w:rFonts w:ascii="Times New Roman" w:hAnsi="Times New Roman" w:cs="Times New Roman"/>
          <w:sz w:val="28"/>
          <w:szCs w:val="28"/>
        </w:rPr>
        <w:t>сии, 2012. – 260 с.</w:t>
      </w:r>
    </w:p>
    <w:p w:rsidR="000E423F" w:rsidRPr="000E423F" w:rsidRDefault="000E423F" w:rsidP="000E423F">
      <w:pPr>
        <w:numPr>
          <w:ilvl w:val="0"/>
          <w:numId w:val="5"/>
        </w:numPr>
        <w:tabs>
          <w:tab w:val="num" w:pos="0"/>
          <w:tab w:val="left" w:pos="108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423F">
        <w:rPr>
          <w:rFonts w:ascii="Times New Roman" w:hAnsi="Times New Roman" w:cs="Times New Roman"/>
          <w:sz w:val="28"/>
          <w:szCs w:val="28"/>
        </w:rPr>
        <w:t>Антенно-фидерные устройства и распространение радиоволн: Учебник для вузов/ Г.А. Ерохин, О.В. Чернышев, Н.Д. Козырев, В.Г. Кочерже</w:t>
      </w:r>
      <w:r w:rsidRPr="000E423F">
        <w:rPr>
          <w:rFonts w:ascii="Times New Roman" w:hAnsi="Times New Roman" w:cs="Times New Roman"/>
          <w:sz w:val="28"/>
          <w:szCs w:val="28"/>
        </w:rPr>
        <w:t>в</w:t>
      </w:r>
      <w:r w:rsidRPr="000E423F">
        <w:rPr>
          <w:rFonts w:ascii="Times New Roman" w:hAnsi="Times New Roman" w:cs="Times New Roman"/>
          <w:sz w:val="28"/>
          <w:szCs w:val="28"/>
        </w:rPr>
        <w:t xml:space="preserve">ский; Под. ред. Г.А. Ерохина. – М.: Горячая линия-Телеком, 2004. – 491 с.: ил. </w:t>
      </w:r>
    </w:p>
    <w:p w:rsidR="000E423F" w:rsidRPr="000E423F" w:rsidRDefault="000E423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E620F" w:rsidRPr="000E423F" w:rsidRDefault="008E620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0E423F" w:rsidRDefault="008E620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0E423F" w:rsidRDefault="008E620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E620F" w:rsidRPr="000E423F" w:rsidRDefault="008E620F" w:rsidP="000E42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74E2" w:rsidRPr="000E423F" w:rsidRDefault="0032476D" w:rsidP="000E42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774E2" w:rsidRPr="000E423F" w:rsidSect="00843D7B">
      <w:footerReference w:type="default" r:id="rId20"/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76D" w:rsidRDefault="0032476D" w:rsidP="00DC4E46">
      <w:pPr>
        <w:spacing w:after="0" w:line="240" w:lineRule="auto"/>
      </w:pPr>
      <w:r>
        <w:separator/>
      </w:r>
    </w:p>
  </w:endnote>
  <w:endnote w:type="continuationSeparator" w:id="0">
    <w:p w:rsidR="0032476D" w:rsidRDefault="0032476D" w:rsidP="00DC4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2133"/>
      <w:docPartObj>
        <w:docPartGallery w:val="Page Numbers (Bottom of Page)"/>
        <w:docPartUnique/>
      </w:docPartObj>
    </w:sdtPr>
    <w:sdtEndPr/>
    <w:sdtContent>
      <w:p w:rsidR="00DC4E46" w:rsidRDefault="00DC4E4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76D">
          <w:rPr>
            <w:noProof/>
          </w:rPr>
          <w:t>1</w:t>
        </w:r>
        <w:r>
          <w:fldChar w:fldCharType="end"/>
        </w:r>
      </w:p>
    </w:sdtContent>
  </w:sdt>
  <w:p w:rsidR="00DC4E46" w:rsidRDefault="00DC4E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76D" w:rsidRDefault="0032476D" w:rsidP="00DC4E46">
      <w:pPr>
        <w:spacing w:after="0" w:line="240" w:lineRule="auto"/>
      </w:pPr>
      <w:r>
        <w:separator/>
      </w:r>
    </w:p>
  </w:footnote>
  <w:footnote w:type="continuationSeparator" w:id="0">
    <w:p w:rsidR="0032476D" w:rsidRDefault="0032476D" w:rsidP="00DC4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406BA9C"/>
    <w:lvl w:ilvl="0">
      <w:numFmt w:val="bullet"/>
      <w:lvlText w:val="*"/>
      <w:lvlJc w:val="left"/>
    </w:lvl>
  </w:abstractNum>
  <w:abstractNum w:abstractNumId="1">
    <w:nsid w:val="03C00E4E"/>
    <w:multiLevelType w:val="multilevel"/>
    <w:tmpl w:val="F6C6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FB6D75"/>
    <w:multiLevelType w:val="hybridMultilevel"/>
    <w:tmpl w:val="CA082876"/>
    <w:lvl w:ilvl="0" w:tplc="C0F4F93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5DEFD5C">
      <w:numFmt w:val="none"/>
      <w:lvlText w:val=""/>
      <w:lvlJc w:val="left"/>
      <w:pPr>
        <w:tabs>
          <w:tab w:val="num" w:pos="360"/>
        </w:tabs>
      </w:pPr>
    </w:lvl>
    <w:lvl w:ilvl="2" w:tplc="4A8A12E4">
      <w:numFmt w:val="none"/>
      <w:lvlText w:val=""/>
      <w:lvlJc w:val="left"/>
      <w:pPr>
        <w:tabs>
          <w:tab w:val="num" w:pos="360"/>
        </w:tabs>
      </w:pPr>
    </w:lvl>
    <w:lvl w:ilvl="3" w:tplc="1ED8C5AA">
      <w:numFmt w:val="none"/>
      <w:lvlText w:val=""/>
      <w:lvlJc w:val="left"/>
      <w:pPr>
        <w:tabs>
          <w:tab w:val="num" w:pos="360"/>
        </w:tabs>
      </w:pPr>
    </w:lvl>
    <w:lvl w:ilvl="4" w:tplc="A554FDBA">
      <w:numFmt w:val="none"/>
      <w:lvlText w:val=""/>
      <w:lvlJc w:val="left"/>
      <w:pPr>
        <w:tabs>
          <w:tab w:val="num" w:pos="360"/>
        </w:tabs>
      </w:pPr>
    </w:lvl>
    <w:lvl w:ilvl="5" w:tplc="5E401582">
      <w:numFmt w:val="none"/>
      <w:lvlText w:val=""/>
      <w:lvlJc w:val="left"/>
      <w:pPr>
        <w:tabs>
          <w:tab w:val="num" w:pos="360"/>
        </w:tabs>
      </w:pPr>
    </w:lvl>
    <w:lvl w:ilvl="6" w:tplc="5D52ADB0">
      <w:numFmt w:val="none"/>
      <w:lvlText w:val=""/>
      <w:lvlJc w:val="left"/>
      <w:pPr>
        <w:tabs>
          <w:tab w:val="num" w:pos="360"/>
        </w:tabs>
      </w:pPr>
    </w:lvl>
    <w:lvl w:ilvl="7" w:tplc="E1B8D200">
      <w:numFmt w:val="none"/>
      <w:lvlText w:val=""/>
      <w:lvlJc w:val="left"/>
      <w:pPr>
        <w:tabs>
          <w:tab w:val="num" w:pos="360"/>
        </w:tabs>
      </w:pPr>
    </w:lvl>
    <w:lvl w:ilvl="8" w:tplc="EADC8806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29A14986"/>
    <w:multiLevelType w:val="multilevel"/>
    <w:tmpl w:val="9F8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7711C"/>
    <w:multiLevelType w:val="hybridMultilevel"/>
    <w:tmpl w:val="1C22B82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C16427"/>
    <w:multiLevelType w:val="multilevel"/>
    <w:tmpl w:val="DB7E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43"/>
    <w:rsid w:val="00014A4E"/>
    <w:rsid w:val="00092079"/>
    <w:rsid w:val="000E423F"/>
    <w:rsid w:val="002726B8"/>
    <w:rsid w:val="0032476D"/>
    <w:rsid w:val="004C5443"/>
    <w:rsid w:val="004F4732"/>
    <w:rsid w:val="006A5ED4"/>
    <w:rsid w:val="006C4FDA"/>
    <w:rsid w:val="00754DCA"/>
    <w:rsid w:val="00843D7B"/>
    <w:rsid w:val="008E620F"/>
    <w:rsid w:val="00BA7D9F"/>
    <w:rsid w:val="00D04DD3"/>
    <w:rsid w:val="00D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8E57-6690-4759-A28B-5507CC9D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FDA"/>
    <w:rPr>
      <w:rFonts w:asciiTheme="minorHAnsi" w:hAnsiTheme="minorHAnsi"/>
      <w:sz w:val="22"/>
    </w:rPr>
  </w:style>
  <w:style w:type="paragraph" w:styleId="1">
    <w:name w:val="heading 1"/>
    <w:basedOn w:val="a"/>
    <w:link w:val="10"/>
    <w:qFormat/>
    <w:rsid w:val="006C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qFormat/>
    <w:rsid w:val="006C4FD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C4FD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4FDA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C4FDA"/>
    <w:rPr>
      <w:rFonts w:ascii="Arial" w:eastAsia="Times New Roman" w:hAnsi="Arial" w:cs="Arial"/>
      <w:b/>
      <w:bCs/>
      <w:i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C4FD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6C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rsid w:val="006C4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rsid w:val="006C4FDA"/>
    <w:pP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rsid w:val="006C4FDA"/>
    <w:rPr>
      <w:rFonts w:ascii="Courier New" w:eastAsia="Times New Roman" w:hAnsi="Courier New" w:cs="Courier New"/>
      <w:sz w:val="20"/>
      <w:szCs w:val="20"/>
      <w:shd w:val="clear" w:color="auto" w:fill="E0E0E0"/>
      <w:lang w:eastAsia="ru-RU"/>
    </w:rPr>
  </w:style>
  <w:style w:type="paragraph" w:customStyle="1" w:styleId="head">
    <w:name w:val="head"/>
    <w:basedOn w:val="a"/>
    <w:rsid w:val="006C4FD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a4">
    <w:name w:val="заголовок_пункта"/>
    <w:basedOn w:val="2"/>
    <w:rsid w:val="006C4FDA"/>
    <w:pPr>
      <w:keepNext w:val="0"/>
    </w:pPr>
  </w:style>
  <w:style w:type="paragraph" w:styleId="a5">
    <w:name w:val="header"/>
    <w:basedOn w:val="a"/>
    <w:link w:val="a6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4E46"/>
    <w:rPr>
      <w:rFonts w:asciiTheme="minorHAnsi" w:hAnsiTheme="minorHAnsi"/>
      <w:sz w:val="22"/>
    </w:rPr>
  </w:style>
  <w:style w:type="paragraph" w:styleId="a7">
    <w:name w:val="footer"/>
    <w:basedOn w:val="a"/>
    <w:link w:val="a8"/>
    <w:uiPriority w:val="99"/>
    <w:unhideWhenUsed/>
    <w:rsid w:val="00DC4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4E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6</cp:revision>
  <dcterms:created xsi:type="dcterms:W3CDTF">2022-03-14T00:49:00Z</dcterms:created>
  <dcterms:modified xsi:type="dcterms:W3CDTF">2024-02-18T16:46:00Z</dcterms:modified>
</cp:coreProperties>
</file>