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1E34D9" w:rsidRDefault="00AA60AC" w:rsidP="001E34D9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ЛЕКЦИЯ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  <w:lang w:val="uz-Cyrl-UZ"/>
        </w:rPr>
        <w:t>№</w:t>
      </w:r>
      <w:r w:rsidR="006C3482" w:rsidRPr="001E34D9">
        <w:rPr>
          <w:b/>
          <w:sz w:val="28"/>
          <w:szCs w:val="28"/>
        </w:rPr>
        <w:t>22</w:t>
      </w:r>
      <w:r w:rsidRPr="001E34D9">
        <w:rPr>
          <w:b/>
          <w:sz w:val="28"/>
          <w:szCs w:val="28"/>
        </w:rPr>
        <w:t>.</w:t>
      </w:r>
      <w:r w:rsidR="00070EB7">
        <w:rPr>
          <w:b/>
          <w:sz w:val="28"/>
          <w:szCs w:val="28"/>
        </w:rPr>
        <w:t xml:space="preserve"> </w:t>
      </w:r>
      <w:r w:rsidR="001E34D9" w:rsidRPr="001E34D9">
        <w:rPr>
          <w:rFonts w:eastAsia="Times New Roman"/>
          <w:b/>
          <w:sz w:val="28"/>
          <w:szCs w:val="28"/>
          <w:lang w:eastAsia="ru-RU"/>
        </w:rPr>
        <w:t>ТЕОРЕТИЧЕСКИЕ</w:t>
      </w:r>
      <w:r w:rsidR="00070EB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1E34D9" w:rsidRPr="001E34D9">
        <w:rPr>
          <w:rFonts w:eastAsia="Times New Roman"/>
          <w:b/>
          <w:sz w:val="28"/>
          <w:szCs w:val="28"/>
          <w:lang w:eastAsia="ru-RU"/>
        </w:rPr>
        <w:t>ОСНОВЫ</w:t>
      </w:r>
      <w:r w:rsidR="00070EB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1E34D9" w:rsidRPr="001E34D9">
        <w:rPr>
          <w:rFonts w:eastAsia="Times New Roman"/>
          <w:b/>
          <w:sz w:val="28"/>
          <w:szCs w:val="28"/>
          <w:lang w:eastAsia="ru-RU"/>
        </w:rPr>
        <w:t>ВОЛС.</w:t>
      </w:r>
      <w:r w:rsidR="00070EB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1E34D9" w:rsidRPr="001E34D9">
        <w:rPr>
          <w:rFonts w:eastAsia="Times New Roman"/>
          <w:b/>
          <w:sz w:val="28"/>
          <w:szCs w:val="28"/>
          <w:lang w:eastAsia="ru-RU"/>
        </w:rPr>
        <w:t>СВЕТОВОД</w:t>
      </w:r>
      <w:r w:rsidR="001E34D9" w:rsidRPr="001E34D9">
        <w:rPr>
          <w:b/>
          <w:sz w:val="28"/>
          <w:szCs w:val="28"/>
        </w:rPr>
        <w:t>.</w:t>
      </w:r>
    </w:p>
    <w:p w:rsidR="00AA60AC" w:rsidRPr="001E34D9" w:rsidRDefault="00AA60AC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План:</w:t>
      </w:r>
      <w:r w:rsidR="00070EB7">
        <w:rPr>
          <w:b/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sz w:val="28"/>
          <w:szCs w:val="28"/>
        </w:rPr>
        <w:t>22</w:t>
      </w:r>
      <w:r w:rsidRPr="001E34D9">
        <w:rPr>
          <w:sz w:val="28"/>
          <w:szCs w:val="28"/>
        </w:rPr>
        <w:t>.1</w:t>
      </w:r>
      <w:r w:rsidR="00070EB7" w:rsidRPr="00070EB7">
        <w:rPr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Обобщенная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схема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sz w:val="28"/>
          <w:szCs w:val="28"/>
        </w:rPr>
        <w:t>22.2</w:t>
      </w:r>
      <w:r w:rsidR="00070EB7" w:rsidRPr="00070EB7">
        <w:rPr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элементы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42531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sz w:val="28"/>
          <w:szCs w:val="28"/>
        </w:rPr>
        <w:t>22</w:t>
      </w:r>
      <w:r w:rsidRPr="001E34D9">
        <w:rPr>
          <w:sz w:val="28"/>
          <w:szCs w:val="28"/>
        </w:rPr>
        <w:t>.3</w:t>
      </w:r>
      <w:r w:rsidR="00070EB7" w:rsidRPr="00070EB7">
        <w:rPr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Принципы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двусто</w:t>
      </w:r>
      <w:r w:rsidRPr="001E34D9">
        <w:rPr>
          <w:sz w:val="28"/>
          <w:szCs w:val="28"/>
        </w:rPr>
        <w:t>ронних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линейных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sz w:val="28"/>
          <w:szCs w:val="28"/>
        </w:rPr>
        <w:t>22.4.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оптоволокна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sz w:val="28"/>
          <w:szCs w:val="28"/>
        </w:rPr>
        <w:t>22.5.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1E34D9" w:rsidRPr="00070EB7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070EB7">
        <w:rPr>
          <w:sz w:val="28"/>
          <w:szCs w:val="28"/>
        </w:rPr>
        <w:t>22.6.</w:t>
      </w:r>
      <w:r w:rsidR="00070EB7" w:rsidRPr="00070EB7">
        <w:rPr>
          <w:sz w:val="28"/>
          <w:szCs w:val="28"/>
        </w:rPr>
        <w:t xml:space="preserve"> </w:t>
      </w:r>
      <w:r w:rsidRPr="00070EB7">
        <w:rPr>
          <w:sz w:val="28"/>
          <w:szCs w:val="28"/>
        </w:rPr>
        <w:t>Световод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pStyle w:val="2"/>
        <w:keepNext w:val="0"/>
        <w:numPr>
          <w:ilvl w:val="1"/>
          <w:numId w:val="0"/>
        </w:numPr>
        <w:tabs>
          <w:tab w:val="left" w:pos="6684"/>
        </w:tabs>
        <w:spacing w:before="0"/>
        <w:ind w:firstLine="709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22.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Обобщенная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структурная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схема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Основным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направлением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развития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телекоммуникационных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</w:t>
      </w:r>
      <w:r w:rsidRPr="001E34D9">
        <w:rPr>
          <w:sz w:val="28"/>
          <w:szCs w:val="28"/>
        </w:rPr>
        <w:softHyphen/>
        <w:t>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(ВОСП).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сово</w:t>
      </w:r>
      <w:r w:rsidRPr="001E34D9">
        <w:rPr>
          <w:sz w:val="28"/>
          <w:szCs w:val="28"/>
        </w:rPr>
        <w:softHyphen/>
        <w:t>купность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обеспечивающая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формирование,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обработку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</w:t>
      </w:r>
      <w:r w:rsidRPr="001E34D9">
        <w:rPr>
          <w:sz w:val="28"/>
          <w:szCs w:val="28"/>
        </w:rPr>
        <w:softHyphen/>
        <w:t>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сигналов.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Физической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создаваемые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волоконно-оптические</w:t>
      </w:r>
      <w:bookmarkStart w:id="0" w:name="_GoBack"/>
      <w:bookmarkEnd w:id="0"/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(ВОЛС).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Совокупность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образует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волоконно-оптическую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(ВОЛП).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Без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невозможно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развитие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телекоммуникационных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технологий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телефонной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телеграфной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кабельного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телевиде</w:t>
      </w:r>
      <w:r w:rsidRPr="001E34D9">
        <w:rPr>
          <w:sz w:val="28"/>
          <w:szCs w:val="28"/>
        </w:rPr>
        <w:softHyphen/>
        <w:t>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факсимильной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данных,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единой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цифровой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интеграцией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служб,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внедрения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телекоммуникационных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сетях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технологии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асинхронного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способа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транспортных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синхрон</w:t>
      </w:r>
      <w:r w:rsidRPr="001E34D9">
        <w:rPr>
          <w:sz w:val="28"/>
          <w:szCs w:val="28"/>
        </w:rPr>
        <w:softHyphen/>
        <w:t>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цифровой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иерархии.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Обобщенная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схема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приведена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22.22.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3305FCD2" wp14:editId="07C0D18B">
            <wp:extent cx="5280660" cy="2407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46" cy="24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приема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1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Обобщенная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схема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волоконно-оптической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lastRenderedPageBreak/>
        <w:t>Область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ограничивается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любых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видов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сообщений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практически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любые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расстояния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наи</w:t>
      </w:r>
      <w:r w:rsidRPr="001E34D9">
        <w:rPr>
          <w:sz w:val="28"/>
          <w:szCs w:val="28"/>
        </w:rPr>
        <w:softHyphen/>
        <w:t>высшими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скоростями,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бортовых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(самолетов,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кораблей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др.)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локальных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глобальных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телекоммуникационных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сетей.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Внедрение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предопределяет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развитие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классических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телекоммуникационных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сетей,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радиоэлектроники,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атомной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энергетики,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космоса,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машиностроения,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судостроения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волоконно-оптической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(ВОСП)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входят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следующие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технические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средства: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Каналообразующее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оборудование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(КОО)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формирование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определенного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числа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групповых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стандартной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полосы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Оборудование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сопряжения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(ОС)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необходимое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сопряжения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параметров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многоканального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выходе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параметрами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передатчика.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(ОПер),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обеспечивающий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совпадает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окон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прозрачности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волокна;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входят: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(ИОИ)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несущей,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один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несколько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параметров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модулируются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многоканальным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сигналом,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поступающим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согласующее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(СУ),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необходимое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ввода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минимально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возможными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потерями;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правило,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согласующее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единый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блок,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называемый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передающим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(ПОМ).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кабель,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служат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ретранслятор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(ОР),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обеспечивающий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компенсацию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затухания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прохождении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(ОВ)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коррекцию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вида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искажений;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могут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обслуживаемыми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необслуживаемыми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устанавливаются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через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определенные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расстояния,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называемые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ретрансляционными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участками;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производиться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обработка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(усиление,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коррекция,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регенерация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т.д.)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получается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путем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последующего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скорректированного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помощью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квантовых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усилителей.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(ОПр),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обеспечивающий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включает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себя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согласующее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необходимое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вывода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минимальными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потерями,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(ПОИ);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совокупность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согласующего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представляет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модуль.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Оборудование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сопряжения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(ОС)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выходе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многоканальный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соответствующего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КОО.</w:t>
      </w:r>
    </w:p>
    <w:p w:rsidR="001E34D9" w:rsidRPr="001E34D9" w:rsidRDefault="001E34D9" w:rsidP="001E34D9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Каналообразующее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оборудование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(КОО)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обратные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многоканального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отдельных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трактов.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[</w:t>
      </w:r>
      <w:r w:rsidRPr="001E34D9">
        <w:rPr>
          <w:sz w:val="28"/>
          <w:szCs w:val="28"/>
          <w:lang w:val="en-US"/>
        </w:rPr>
        <w:t>1]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22.</w:t>
      </w:r>
      <w:r w:rsidRPr="001E34D9">
        <w:rPr>
          <w:b/>
          <w:sz w:val="28"/>
          <w:szCs w:val="28"/>
        </w:rPr>
        <w:t>2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Основные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элементы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bookmarkStart w:id="1" w:name="_Toc257131886"/>
      <w:bookmarkStart w:id="2" w:name="_Toc289289259"/>
      <w:bookmarkStart w:id="3" w:name="_Toc289289477"/>
      <w:bookmarkStart w:id="4" w:name="_Toc289291659"/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входного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правило,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цифрового)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выходной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цифровой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излучатель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«включается»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«выключается»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поступающим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потоком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импульсов.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целей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инфракрасные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светоизлучающие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LED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LD.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обладают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быстродействием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способны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поддерживать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модуляцию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излучаемого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скоростями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сотни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тысячи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Мбит/с.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кабельного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телевидения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широкополосного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аналогового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аналоговый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случае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линейность.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обратное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импульсов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импульсы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тока.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качестве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элемента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настоящее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p-i-n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фотодиоды,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малую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инерционность.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Если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предающая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станции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удалены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расстояние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например,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несколько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сотен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дополнительно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требуется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установка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промежуточных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ретрансляторов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восстановления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энергетических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соотношений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импульсов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качестве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могут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усилители.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содержит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точностью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коэффициента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ошибок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восстанавливает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амплитуду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временное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положение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информационных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импульсов,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самым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помощью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восстановления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формы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первоначальной.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оптоэлектронного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преобразования.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специальные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накачки,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непосредственно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усиливает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проходящий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индуцированному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излучению.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Поэтому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восстановления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формы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полностью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очистить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шумов.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становиться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предпочтительным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случае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спектрального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уплотнения,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всех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стволов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одновременно,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потребовало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установки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каждой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несущей.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практике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один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из-за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накопления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шумов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искажения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формы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импульсов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приходиться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несколько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последовательных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4-8).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образом,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эффективность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уплотненных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волоконно-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магистралей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протяженности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очень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[2]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Волоконно-оптический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(ВОК)</w:t>
      </w:r>
      <w:r w:rsidRPr="001E34D9">
        <w:rPr>
          <w:b/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Характерная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строительная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(длина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непрерывного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участка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поставляемого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барабане)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варьируется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зависимости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производителя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пределах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2-10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протяженных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участках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между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регенераторами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усилителями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могут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помещаться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десятки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строительных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кабелей.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производится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специальное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сращивание,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правило,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помощью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сварки,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Места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сварки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защищаются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специальной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герметичной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проходной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муфтой.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pStyle w:val="2"/>
        <w:keepNext w:val="0"/>
        <w:numPr>
          <w:ilvl w:val="1"/>
          <w:numId w:val="0"/>
        </w:numPr>
        <w:spacing w:before="0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</w:p>
    <w:p w:rsidR="001E34D9" w:rsidRPr="001E34D9" w:rsidRDefault="001E34D9" w:rsidP="001E34D9">
      <w:pPr>
        <w:pStyle w:val="2"/>
        <w:keepNext w:val="0"/>
        <w:numPr>
          <w:ilvl w:val="1"/>
          <w:numId w:val="0"/>
        </w:numPr>
        <w:spacing w:before="0"/>
        <w:ind w:firstLine="709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22.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bookmarkEnd w:id="1"/>
      <w:bookmarkEnd w:id="2"/>
      <w:bookmarkEnd w:id="3"/>
      <w:bookmarkEnd w:id="4"/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Принципы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построения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двусторонних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линейных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трактов</w:t>
      </w:r>
      <w:r w:rsidR="00070E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E34D9">
        <w:rPr>
          <w:rFonts w:ascii="Times New Roman" w:hAnsi="Times New Roman" w:cs="Times New Roman"/>
          <w:b/>
          <w:color w:val="auto"/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Линейные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строятся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двухволоконные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однокабельные,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одноволоконные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однокабельные,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одноволоконные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двухполосные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однокабельные.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случае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организации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двухволоконной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ведутся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position w:val="-6"/>
          <w:sz w:val="28"/>
          <w:szCs w:val="2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3" ShapeID="_x0000_i1025" DrawAspect="Content" ObjectID="_1769554342" r:id="rId9"/>
        </w:object>
      </w:r>
      <w:r w:rsidRPr="001E34D9">
        <w:rPr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Каждое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эквивалентом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двухпроводной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физической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цепи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взаимные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влияния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между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отсутствуют,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организуются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кабелю,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т.е.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однополосными.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Принцип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двухволоконной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показан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2.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327B500E" wp14:editId="3FBAF43D">
            <wp:extent cx="6103617" cy="1303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560" cy="13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КОО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канало-образующее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оборудование;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оборудование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сопряжения;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2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Принцип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двухволоконной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Достоинством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однотипного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оборудования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трактов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оконечных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промежуточных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станций,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недостатком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весьма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низкий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коэффициент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способности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ОВ.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случае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организации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одноволоконной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направлениях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3).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0238A91F" wp14:editId="52BCBF63">
            <wp:extent cx="5946775" cy="13486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62" cy="13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3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Принцип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одноволоконной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однополосной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Оптическое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развязывающее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устройство(ОРУ),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поляризацию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разделение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направляемой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случае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организации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одноволоконной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направлении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ведется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position w:val="-12"/>
          <w:sz w:val="28"/>
          <w:szCs w:val="28"/>
        </w:rPr>
        <w:object w:dxaOrig="279" w:dyaOrig="380">
          <v:shape id="_x0000_i1026" type="#_x0000_t75" style="width:13.5pt;height:19.5pt" o:ole="">
            <v:imagedata r:id="rId12" o:title=""/>
          </v:shape>
          <o:OLEObject Type="Embed" ProgID="Equation.3" ShapeID="_x0000_i1026" DrawAspect="Content" ObjectID="_1769554343" r:id="rId13"/>
        </w:object>
      </w:r>
      <w:r w:rsidRPr="001E34D9">
        <w:rPr>
          <w:sz w:val="28"/>
          <w:szCs w:val="28"/>
        </w:rPr>
        <w:t>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position w:val="-12"/>
          <w:sz w:val="28"/>
          <w:szCs w:val="28"/>
        </w:rPr>
        <w:object w:dxaOrig="320" w:dyaOrig="380">
          <v:shape id="_x0000_i1027" type="#_x0000_t75" style="width:16.5pt;height:19.5pt" o:ole="">
            <v:imagedata r:id="rId14" o:title=""/>
          </v:shape>
          <o:OLEObject Type="Embed" ProgID="Equation.3" ShapeID="_x0000_i1027" DrawAspect="Content" ObjectID="_1769554344" r:id="rId15"/>
        </w:object>
      </w:r>
      <w:r w:rsidRPr="001E34D9">
        <w:rPr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Разделение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направлений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осуществляется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помощью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направляющих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фильтров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(ОФ),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настроенных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соответствующие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обобщенная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схема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способа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организации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двусторонней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приведена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4.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[3]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2E070A7E" wp14:editId="5F2A3FDD">
            <wp:extent cx="5880264" cy="20097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26" cy="201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position w:val="-20"/>
          <w:sz w:val="28"/>
          <w:szCs w:val="28"/>
        </w:rPr>
        <w:object w:dxaOrig="859" w:dyaOrig="460">
          <v:shape id="_x0000_i1028" type="#_x0000_t75" style="width:43.5pt;height:22.5pt" o:ole="">
            <v:imagedata r:id="rId17" o:title=""/>
          </v:shape>
          <o:OLEObject Type="Embed" ProgID="Equation.3" ShapeID="_x0000_i1028" DrawAspect="Content" ObjectID="_1769554345" r:id="rId18"/>
        </w:objec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направляющие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фильтры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22.</w:t>
      </w:r>
      <w:r w:rsidRPr="001E34D9">
        <w:rPr>
          <w:sz w:val="28"/>
          <w:szCs w:val="28"/>
        </w:rPr>
        <w:t>4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2D"/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Принцип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построения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одноволоконной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двухполосной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однокабельной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</w:p>
    <w:p w:rsidR="00AA60AC" w:rsidRPr="001E34D9" w:rsidRDefault="00AA60AC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22.4.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Применения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оптоволокна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b/>
          <w:sz w:val="28"/>
          <w:szCs w:val="28"/>
        </w:rPr>
        <w:t>Волоконно-оптическая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связь</w:t>
      </w:r>
      <w:r w:rsidRPr="001E34D9">
        <w:rPr>
          <w:b/>
          <w:sz w:val="28"/>
          <w:szCs w:val="28"/>
        </w:rPr>
        <w:t>.</w:t>
      </w:r>
      <w:r w:rsidR="00070EB7">
        <w:rPr>
          <w:b/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подобных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найдено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информации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телекоммуникационных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сетях.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того,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применяются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уровней.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домашних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сетей,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вплоть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единого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страны.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Такой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спрос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возник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из-за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того,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оптоволоконные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обеспечены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степенью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защитой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проникновения,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низкий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уровень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затухания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передаваемого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сигнала,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возможность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огромные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расстояния,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самое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главное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сверхвысокая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информации.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Именно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поэтому,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возможным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внешней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межконтинентальном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уровне.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востребован</w:t>
      </w:r>
      <w:r w:rsidR="00070EB7">
        <w:rPr>
          <w:rFonts w:eastAsiaTheme="majorEastAsia"/>
          <w:sz w:val="28"/>
          <w:szCs w:val="28"/>
        </w:rPr>
        <w:t xml:space="preserve"> </w:t>
      </w:r>
      <w:hyperlink r:id="rId19" w:tooltip="оптоволоконный кабель цена" w:history="1">
        <w:r w:rsidRPr="001E34D9">
          <w:rPr>
            <w:rStyle w:val="a7"/>
            <w:color w:val="auto"/>
            <w:sz w:val="28"/>
            <w:szCs w:val="28"/>
          </w:rPr>
          <w:t>оптоволоконный</w:t>
        </w:r>
        <w:r w:rsidR="00070EB7">
          <w:rPr>
            <w:rStyle w:val="a7"/>
            <w:color w:val="auto"/>
            <w:sz w:val="28"/>
            <w:szCs w:val="28"/>
          </w:rPr>
          <w:t xml:space="preserve"> </w:t>
        </w:r>
        <w:r w:rsidRPr="001E34D9">
          <w:rPr>
            <w:rStyle w:val="a7"/>
            <w:color w:val="auto"/>
            <w:sz w:val="28"/>
            <w:szCs w:val="28"/>
          </w:rPr>
          <w:t>кабель,</w:t>
        </w:r>
        <w:r w:rsidR="00070EB7">
          <w:rPr>
            <w:rStyle w:val="a7"/>
            <w:color w:val="auto"/>
            <w:sz w:val="28"/>
            <w:szCs w:val="28"/>
          </w:rPr>
          <w:t xml:space="preserve"> </w:t>
        </w:r>
        <w:r w:rsidRPr="001E34D9">
          <w:rPr>
            <w:rStyle w:val="a7"/>
            <w:color w:val="auto"/>
            <w:sz w:val="28"/>
            <w:szCs w:val="28"/>
          </w:rPr>
          <w:t>цена</w:t>
        </w:r>
      </w:hyperlink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сравнению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обычными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сетями.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Скорость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оптоволоконному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огромной.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Причем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настолько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огромной,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40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Гбит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секунду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стандарт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каналов.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Поскольку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последнее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разработаны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оптоволоконные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могут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Тбит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секунду.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Подобные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состоят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нескольких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сотен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уплотненных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связанных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каналов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связи.</w:t>
      </w:r>
      <w:r w:rsidR="00070EB7">
        <w:rPr>
          <w:rFonts w:eastAsiaTheme="majorEastAsia"/>
          <w:sz w:val="28"/>
          <w:szCs w:val="28"/>
        </w:rPr>
        <w:t xml:space="preserve"> </w:t>
      </w:r>
      <w:r w:rsidRPr="001E34D9">
        <w:rPr>
          <w:sz w:val="28"/>
          <w:szCs w:val="28"/>
        </w:rPr>
        <w:t>Стоимость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оптоволоконного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кабеля</w:t>
      </w:r>
      <w:r w:rsidR="00070EB7">
        <w:rPr>
          <w:rFonts w:eastAsiaTheme="majorEastAsia"/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способностью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очень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велика.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несмотря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оказывается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весьма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рентабельным.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Волоконно-оптический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датчик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Волоконно-оптические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датчики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измерения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температуры,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напряжения,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давления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другого.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нашли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своё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простоте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эксплуатации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малой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затрате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энергии.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очень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маленькие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практически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требуют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электроэнергии.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Оптоволокно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применяют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гидрофонах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гидролокационных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сейсмических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приборах.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системы,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один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волоконный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кабель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установлено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100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датчиков.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Подобные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датчики,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способны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измерять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давление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температуру,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измерений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нефтяных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скважинах.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Почему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там?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Дело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температура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довольно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обычные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полупроводниковые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датчики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справляются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выходят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строя.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оптоволоконные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датчики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без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труда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работают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условиях.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Разработаны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приборы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дуговой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защиты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датчиков,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преимуществами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являются: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невосприимчивость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электромагнитным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воздействиям,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быстродействие,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легкость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монтажа,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гибкость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свойства.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Другие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применения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Подобное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довольно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часто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освещения.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Кроме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этого,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нашли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своё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медицине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сферах.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Особенно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яркий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нужно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доставить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какую-то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труднодоступную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зону.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Встречаются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здания,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направления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солнечного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крыши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части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здания.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стоит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отметить,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зачастую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начали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применять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наружной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рекламе,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целью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привлечения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внимания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световыми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эффектами.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Поскольку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выглядит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довольно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эффектно.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подобное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освещение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увидеть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декорациях,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же,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новогодних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елках.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останавливается.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каждым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днем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оптоволокно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проникает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сферы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всё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глубже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глубже.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[4]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22.5.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Передающие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оптические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модули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ВОСП</w:t>
      </w:r>
    </w:p>
    <w:p w:rsidR="001E34D9" w:rsidRPr="001E34D9" w:rsidRDefault="001E34D9" w:rsidP="001E34D9">
      <w:pPr>
        <w:pStyle w:val="a8"/>
        <w:ind w:left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pStyle w:val="a8"/>
        <w:ind w:left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Типы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и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характеристики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источников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излучения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Главным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элементом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требованиям,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удовлетворять,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относятся: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  </w:t>
      </w:r>
      <w:r w:rsidRPr="001E34D9">
        <w:rPr>
          <w:sz w:val="28"/>
          <w:szCs w:val="28"/>
        </w:rPr>
        <w:t>излучение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вестись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окон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прозрачности;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обладать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соответствующим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быстродействием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того,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чтобы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информации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требуемой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скорости;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ввод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минимальными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потерями;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достаточную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расстояния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мощность,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настолько,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чтобы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приводило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нелинейным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эффектам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повредить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приемник;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выдерживать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температуры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заданных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пределах;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стоимость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быть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относительно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невысокой.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настоящее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удовлетворяют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требованиям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(LED)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полупроводниковые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(LD).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Главное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отличие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между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Светоизлучающие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широкий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узкий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3.1.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устройств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весьма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компактны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хорошо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сопрягаются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стандартными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электронными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цепями.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72E0F50C" wp14:editId="3B25BF8D">
            <wp:extent cx="5996940" cy="1821180"/>
            <wp:effectExtent l="0" t="0" r="3810" b="7620"/>
            <wp:docPr id="5" name="Рисунок 5" descr="Спектры излучения светодиодов и лазерных ди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пектры излучения светодиодов и лазерных диодов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12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pacing w:val="3"/>
          <w:sz w:val="28"/>
          <w:szCs w:val="28"/>
        </w:rPr>
      </w:pPr>
      <w:r w:rsidRPr="001E34D9">
        <w:rPr>
          <w:spacing w:val="3"/>
          <w:sz w:val="28"/>
          <w:szCs w:val="28"/>
        </w:rPr>
        <w:t>Рисунок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3.1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–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Спектры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излучения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светодиодов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и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лазерных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диодов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Светоизлучающие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диоды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ab/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b/>
          <w:sz w:val="28"/>
          <w:szCs w:val="28"/>
        </w:rPr>
        <w:tab/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своей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простоте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низкой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стоимости,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распространены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Принцип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работы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основан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излучательной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рекомбинации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носителей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заряда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гетерогенной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пропускании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через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тока,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3.2(а).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Носители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заряда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проникают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(гетеропереход)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прилегающих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пассивных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слоев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(р-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n-слоя)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вследствие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подачи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напряжения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р-n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испытывают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спонтанную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рекомбинацию,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сопровождающуюся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света.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Длина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X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(мкм)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связана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запрещенной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зоны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Eg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(эВ)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законом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сохранения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λ=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1,24/Еg,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3.2(б).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Показатель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преломления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выше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показателя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преломления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ограничивающих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пассивных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слоев,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рекомбинационное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распространяться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пределах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испытывая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многократное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отражение,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повышает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КПД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источника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3232572B" wp14:editId="5046E962">
            <wp:extent cx="6035040" cy="2004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0515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а)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гетероструктура;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энергетическая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диаграмма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прямом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смещении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3.2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Двойная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гетероструктура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Гетерогенные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могут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создаваться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полупроводниковых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материалов.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Обычно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качестве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подложки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GaAs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1пР.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Соответствующий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композит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композиционный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материала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выбирается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зависимости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создается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посредством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напыления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подложку.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Длину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λ</w:t>
      </w:r>
      <w:r w:rsidRPr="001E34D9">
        <w:rPr>
          <w:sz w:val="28"/>
          <w:szCs w:val="28"/>
          <w:vertAlign w:val="subscript"/>
        </w:rPr>
        <w:t>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определяют,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значение,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соответствующее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максимуму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спектрального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распределения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мощности,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Δλ</w:t>
      </w:r>
      <w:r w:rsidRPr="001E34D9">
        <w:rPr>
          <w:sz w:val="28"/>
          <w:szCs w:val="28"/>
          <w:vertAlign w:val="subscript"/>
        </w:rPr>
        <w:t>0,5</w:t>
      </w:r>
      <w:r w:rsidR="00070EB7">
        <w:rPr>
          <w:rStyle w:val="apple-converted-space"/>
          <w:sz w:val="28"/>
          <w:szCs w:val="28"/>
        </w:rPr>
        <w:t xml:space="preserve"> </w:t>
      </w:r>
      <w:r w:rsidRPr="001E34D9">
        <w:rPr>
          <w:sz w:val="28"/>
          <w:szCs w:val="28"/>
        </w:rPr>
        <w:t>—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интервал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спектральная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плотность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мощности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половину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максимальной.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Лазерные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диоды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sz w:val="28"/>
          <w:szCs w:val="28"/>
        </w:rPr>
        <w:tab/>
      </w:r>
      <w:r w:rsidRPr="001E34D9">
        <w:rPr>
          <w:b/>
          <w:sz w:val="28"/>
          <w:szCs w:val="28"/>
        </w:rPr>
        <w:t>Свойство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лазерных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диодов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сравнению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главных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отличия.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Первое,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встроенный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Второе,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работает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значениях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токов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накачки,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позволяет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превышении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некоторого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порогового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получить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режим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индуцированного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характеризуется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когерентностью,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значительно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меньше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1-2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против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30-50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светодиодов,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3.1.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E34D9">
        <w:rPr>
          <w:sz w:val="28"/>
          <w:szCs w:val="28"/>
          <w:shd w:val="clear" w:color="auto" w:fill="FFFFFF"/>
        </w:rPr>
        <w:t>Зависимость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мощности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излучения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от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тока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накачки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описывается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ватт-амперной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характеристикой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лазерного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диода.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При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малых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токах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накачки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лазер,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испытывает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слабое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спонтанное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излучение,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работая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как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малоэффективный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светодиод.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При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превышении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некоторого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порогового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значения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тока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накачки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I</w:t>
      </w:r>
      <w:r w:rsidRPr="001E34D9">
        <w:rPr>
          <w:sz w:val="28"/>
          <w:szCs w:val="28"/>
          <w:shd w:val="clear" w:color="auto" w:fill="FFFFFF"/>
          <w:vertAlign w:val="subscript"/>
        </w:rPr>
        <w:t>пор</w:t>
      </w:r>
      <w:r w:rsidRPr="001E34D9">
        <w:rPr>
          <w:sz w:val="28"/>
          <w:szCs w:val="28"/>
          <w:shd w:val="clear" w:color="auto" w:fill="FFFFFF"/>
        </w:rPr>
        <w:t>,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излучение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становится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индуцированным,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что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приводит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к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резкому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росту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мощности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излучения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и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его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когерентности,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рисунок</w:t>
      </w:r>
      <w:r w:rsidR="00070EB7">
        <w:rPr>
          <w:sz w:val="28"/>
          <w:szCs w:val="28"/>
          <w:shd w:val="clear" w:color="auto" w:fill="FFFFFF"/>
        </w:rPr>
        <w:t xml:space="preserve"> </w:t>
      </w:r>
      <w:r w:rsidRPr="001E34D9">
        <w:rPr>
          <w:sz w:val="28"/>
          <w:szCs w:val="28"/>
          <w:shd w:val="clear" w:color="auto" w:fill="FFFFFF"/>
        </w:rPr>
        <w:t>3.3.</w:t>
      </w:r>
    </w:p>
    <w:p w:rsidR="001E34D9" w:rsidRPr="001E34D9" w:rsidRDefault="001E34D9" w:rsidP="001E34D9">
      <w:pPr>
        <w:spacing w:after="0" w:line="240" w:lineRule="auto"/>
        <w:ind w:firstLine="709"/>
        <w:rPr>
          <w:sz w:val="28"/>
          <w:szCs w:val="28"/>
          <w:shd w:val="clear" w:color="auto" w:fill="FFFFFF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4B74297F" wp14:editId="4268BF42">
            <wp:extent cx="3002540" cy="262150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0F1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1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диода;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светодиода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3.3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Ватт-амперные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характеристики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магистральных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используются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1,3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1,55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мкм.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Поскольку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наименьшее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затухание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достигается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1,55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мкм,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сверхпротяженных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регенерационных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участках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(порядка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100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км)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эффективней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Однако,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если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магистральной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ВОСП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входят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ступенчатые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одномодовые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без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смещенной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дисперсии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минимумом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хроматической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дисперсии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окрестности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1,3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мкм,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величина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хроматической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дисперсии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1,55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мкм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17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пс/нм.км.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поскольку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полоса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обратно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пропорциональна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увеличить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полосу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уменьшая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Δλ=4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полоса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пропускания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100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составит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63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МГц,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Δλ=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0,2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1260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МГц.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Поэтому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того,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чтобы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оптические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передатчики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1,55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мкм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только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протяженных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линиях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одномодовым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смещенной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дисперсией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(DSF),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обычным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ступенчатым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волокном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(SMF),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необходимо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делать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меньше.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Наибольшее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получили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четыре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диодов: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Фабри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Перо;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распределенной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обратной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связью;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распределенным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брэгговским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отражением;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ab/>
        <w:t>-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внешним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резонатором.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1E34D9">
        <w:rPr>
          <w:b/>
          <w:sz w:val="28"/>
          <w:szCs w:val="28"/>
          <w:shd w:val="clear" w:color="auto" w:fill="FFFFFF"/>
        </w:rPr>
        <w:t>Лазерные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  <w:r w:rsidRPr="001E34D9">
        <w:rPr>
          <w:b/>
          <w:sz w:val="28"/>
          <w:szCs w:val="28"/>
          <w:shd w:val="clear" w:color="auto" w:fill="FFFFFF"/>
        </w:rPr>
        <w:t>диоды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  <w:r w:rsidRPr="001E34D9">
        <w:rPr>
          <w:b/>
          <w:sz w:val="28"/>
          <w:szCs w:val="28"/>
          <w:shd w:val="clear" w:color="auto" w:fill="FFFFFF"/>
        </w:rPr>
        <w:t>с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  <w:r w:rsidRPr="001E34D9">
        <w:rPr>
          <w:b/>
          <w:sz w:val="28"/>
          <w:szCs w:val="28"/>
          <w:shd w:val="clear" w:color="auto" w:fill="FFFFFF"/>
        </w:rPr>
        <w:t>резонатором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  <w:r w:rsidRPr="001E34D9">
        <w:rPr>
          <w:b/>
          <w:sz w:val="28"/>
          <w:szCs w:val="28"/>
          <w:shd w:val="clear" w:color="auto" w:fill="FFFFFF"/>
        </w:rPr>
        <w:t>Фабри-Перо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  <w:r w:rsidRPr="001E34D9">
        <w:rPr>
          <w:b/>
          <w:sz w:val="28"/>
          <w:szCs w:val="28"/>
          <w:shd w:val="clear" w:color="auto" w:fill="FFFFFF"/>
        </w:rPr>
        <w:t>(</w:t>
      </w:r>
      <w:r w:rsidRPr="001E34D9">
        <w:rPr>
          <w:b/>
          <w:sz w:val="28"/>
          <w:szCs w:val="28"/>
          <w:shd w:val="clear" w:color="auto" w:fill="FFFFFF"/>
          <w:lang w:val="en-US"/>
        </w:rPr>
        <w:t>FR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  <w:r w:rsidRPr="001E34D9">
        <w:rPr>
          <w:b/>
          <w:sz w:val="28"/>
          <w:szCs w:val="28"/>
          <w:shd w:val="clear" w:color="auto" w:fill="FFFFFF"/>
        </w:rPr>
        <w:t>лазер)</w:t>
      </w:r>
      <w:r w:rsidR="00070EB7">
        <w:rPr>
          <w:b/>
          <w:sz w:val="28"/>
          <w:szCs w:val="28"/>
          <w:shd w:val="clear" w:color="auto" w:fill="FFFFFF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образуется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торцевыми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поверхностями,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окружающими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сторон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гетеропереход.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поверхностей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коэффициентом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близким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100%,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полупрозрачной,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обеспечивая,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образом,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выход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наружу.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Спектр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промышленного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использованием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Фабри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показан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3.1(б).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видно,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наряду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главным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пиком,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сосредоточена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мощность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существуют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побочные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максимумы.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появление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связано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условиями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образования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стоячих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определенной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необходимо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выполнение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условий.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Первое,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удовлетворять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соотношению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2D=Nλ,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диаметр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Фабри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N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некоторое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целое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число.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Второе,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должна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попадать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диапазон,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пределах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усиливаться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индуцированным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излученимем.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Если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диапазон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достаточно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мал,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место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одномодовый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режим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меньше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противном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случае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0,5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могут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попасть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соседних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максимумов,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соответствует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многомодовому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режиму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шириной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спектра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нескольких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FP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далеко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самые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технические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характеристики,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когда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требуется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очень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передачи,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он,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вследствие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конструкции,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наилучшим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образом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подходит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точки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зрения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эффективность.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Лазер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Фабри-Перо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представлен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3.4.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477E23D0" wp14:editId="4D30BE6D">
            <wp:extent cx="4754505" cy="2193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0295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6" r="-10743"/>
                    <a:stretch/>
                  </pic:blipFill>
                  <pic:spPr bwMode="auto">
                    <a:xfrm>
                      <a:off x="0" y="0"/>
                      <a:ext cx="4877552" cy="225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3.4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Фабри-Перо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</w:t>
      </w:r>
      <w:r w:rsidRPr="001E34D9">
        <w:rPr>
          <w:sz w:val="28"/>
          <w:szCs w:val="28"/>
          <w:lang w:val="en-US"/>
        </w:rPr>
        <w:t>FR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лазер)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Лазерные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диоды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с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распределенной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обратной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связью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(DFB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лазер)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и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с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распределенным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брэгговским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отражением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(DBR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лазер)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Резонаторы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двух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довольно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схожих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представляют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собой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модификацию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плоского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Фабри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которой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добавлена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периодическая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пространственная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модуляционная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DFB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периодическая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совмещена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областью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3.5),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DBR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периодическая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вынесена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пределы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3.6).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Периодическая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влияет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условия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самым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характеристики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преимуществами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DFB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DBR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сравнению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FP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являются: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уменьшение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зависимости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излучения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ижекции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температуры,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стабильность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одномодовости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практически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100%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глубина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модуляции.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Температурный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коэффициент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Δ/ΔТ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FP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порядка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0,5-1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нм/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DFB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порядка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0,07-0,09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нм/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0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Основным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недостатком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DFB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DBR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сложная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технология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изготовления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следствие,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более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высокая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цена.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noProof/>
          <w:sz w:val="28"/>
          <w:szCs w:val="28"/>
        </w:rPr>
        <w:drawing>
          <wp:inline distT="0" distB="0" distL="0" distR="0" wp14:anchorId="62062999" wp14:editId="2176AFCC">
            <wp:extent cx="5135245" cy="1552575"/>
            <wp:effectExtent l="0" t="0" r="825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908E3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20" cy="15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bCs/>
          <w:spacing w:val="3"/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3.5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Лазер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с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распределенной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обратной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связью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(</w:t>
      </w:r>
      <w:r w:rsidRPr="001E34D9">
        <w:rPr>
          <w:bCs/>
          <w:spacing w:val="3"/>
          <w:sz w:val="28"/>
          <w:szCs w:val="28"/>
          <w:lang w:val="en-US"/>
        </w:rPr>
        <w:t>DFB</w:t>
      </w:r>
      <w:r w:rsidR="00070EB7">
        <w:rPr>
          <w:bCs/>
          <w:spacing w:val="3"/>
          <w:sz w:val="28"/>
          <w:szCs w:val="28"/>
        </w:rPr>
        <w:t xml:space="preserve"> </w:t>
      </w:r>
      <w:r w:rsidRPr="001E34D9">
        <w:rPr>
          <w:bCs/>
          <w:spacing w:val="3"/>
          <w:sz w:val="28"/>
          <w:szCs w:val="28"/>
        </w:rPr>
        <w:t>лазер)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noProof/>
          <w:sz w:val="28"/>
          <w:szCs w:val="28"/>
        </w:rPr>
        <w:drawing>
          <wp:inline distT="0" distB="0" distL="0" distR="0" wp14:anchorId="6142D716" wp14:editId="5C4246C0">
            <wp:extent cx="4906645" cy="161149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90CA7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258" cy="16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pacing w:val="3"/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3.6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Лазер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с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распределенным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брэгговским</w:t>
      </w:r>
      <w:r w:rsidR="00070EB7">
        <w:rPr>
          <w:spacing w:val="3"/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bCs/>
          <w:spacing w:val="3"/>
          <w:sz w:val="28"/>
          <w:szCs w:val="28"/>
        </w:rPr>
      </w:pPr>
      <w:r w:rsidRPr="001E34D9">
        <w:rPr>
          <w:spacing w:val="3"/>
          <w:sz w:val="28"/>
          <w:szCs w:val="28"/>
        </w:rPr>
        <w:t>отражением</w:t>
      </w:r>
      <w:r w:rsidR="00070EB7">
        <w:rPr>
          <w:spacing w:val="3"/>
          <w:sz w:val="28"/>
          <w:szCs w:val="28"/>
        </w:rPr>
        <w:t xml:space="preserve"> </w:t>
      </w:r>
      <w:r w:rsidRPr="001E34D9">
        <w:rPr>
          <w:spacing w:val="3"/>
          <w:sz w:val="28"/>
          <w:szCs w:val="28"/>
        </w:rPr>
        <w:t>(</w:t>
      </w:r>
      <w:r w:rsidRPr="001E34D9">
        <w:rPr>
          <w:bCs/>
          <w:spacing w:val="3"/>
          <w:sz w:val="28"/>
          <w:szCs w:val="28"/>
          <w:lang w:val="en-US"/>
        </w:rPr>
        <w:t>DBR</w:t>
      </w:r>
      <w:r w:rsidR="00070EB7">
        <w:rPr>
          <w:bCs/>
          <w:spacing w:val="3"/>
          <w:sz w:val="28"/>
          <w:szCs w:val="28"/>
        </w:rPr>
        <w:t xml:space="preserve"> </w:t>
      </w:r>
      <w:r w:rsidRPr="001E34D9">
        <w:rPr>
          <w:bCs/>
          <w:spacing w:val="3"/>
          <w:sz w:val="28"/>
          <w:szCs w:val="28"/>
        </w:rPr>
        <w:t>лазер)</w:t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Лазерный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диод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с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внешним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резонатором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(EC</w:t>
      </w:r>
      <w:r w:rsidR="00070EB7">
        <w:rPr>
          <w:b/>
          <w:sz w:val="28"/>
          <w:szCs w:val="28"/>
        </w:rPr>
        <w:t xml:space="preserve"> </w:t>
      </w:r>
      <w:r w:rsidRPr="001E34D9">
        <w:rPr>
          <w:b/>
          <w:sz w:val="28"/>
          <w:szCs w:val="28"/>
        </w:rPr>
        <w:t>лазер)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один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торца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покрываются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специальным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слоем,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уменьшающим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отражение,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соответственно,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два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зеркала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ставятся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вокруг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области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полупроводниковой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структуры.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рисунке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3.7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показан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лазера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внешним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резонатором.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Антиотражательное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покрытие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уменьшает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коэффициент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примерно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четыре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порядка,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другой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торец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слоя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30%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светового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потока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благодаря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френелевскому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отражению.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Зеркало,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правило,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совмещает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функции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дифракционной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решетки.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улучшения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обратной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связи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между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зеркалом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активным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элементом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устанавливается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линза.</w:t>
      </w:r>
      <w:r w:rsidR="00070EB7">
        <w:rPr>
          <w:sz w:val="28"/>
          <w:szCs w:val="28"/>
        </w:rPr>
        <w:t xml:space="preserve"> 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 w:rsidRPr="001E34D9">
        <w:rPr>
          <w:sz w:val="28"/>
          <w:szCs w:val="28"/>
        </w:rPr>
        <w:t>Увеличивая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или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уменьшая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расстояние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зеркала,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одновременно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разворачивая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зеркало-решетку,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что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эквивалентно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изменению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шага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решетки,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плавно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изменять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время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наработки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отказ.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[</w:t>
      </w:r>
      <w:r w:rsidRPr="001E34D9">
        <w:rPr>
          <w:sz w:val="28"/>
          <w:szCs w:val="28"/>
          <w:lang w:val="en-US"/>
        </w:rPr>
        <w:t>5]</w:t>
      </w: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1E34D9" w:rsidRPr="001E34D9" w:rsidRDefault="001E34D9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noProof/>
          <w:sz w:val="28"/>
          <w:szCs w:val="28"/>
        </w:rPr>
        <w:drawing>
          <wp:inline distT="0" distB="0" distL="0" distR="0" wp14:anchorId="75A112D5" wp14:editId="3F5C627A">
            <wp:extent cx="4846320" cy="1588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90835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49" cy="16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9" w:rsidRPr="001E34D9" w:rsidRDefault="001E34D9" w:rsidP="001E34D9">
      <w:pPr>
        <w:spacing w:after="0" w:line="240" w:lineRule="auto"/>
        <w:ind w:firstLine="709"/>
        <w:jc w:val="center"/>
        <w:rPr>
          <w:bCs/>
          <w:spacing w:val="4"/>
          <w:sz w:val="28"/>
          <w:szCs w:val="28"/>
        </w:rPr>
      </w:pPr>
      <w:r w:rsidRPr="001E34D9">
        <w:rPr>
          <w:sz w:val="28"/>
          <w:szCs w:val="28"/>
        </w:rPr>
        <w:t>Рисунок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3.7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–</w:t>
      </w:r>
      <w:r w:rsidR="00070EB7">
        <w:rPr>
          <w:sz w:val="28"/>
          <w:szCs w:val="28"/>
        </w:rPr>
        <w:t xml:space="preserve"> </w:t>
      </w:r>
      <w:r w:rsidRPr="001E34D9">
        <w:rPr>
          <w:spacing w:val="4"/>
          <w:sz w:val="28"/>
          <w:szCs w:val="28"/>
        </w:rPr>
        <w:t>Лазер</w:t>
      </w:r>
      <w:r w:rsidR="00070EB7">
        <w:rPr>
          <w:spacing w:val="4"/>
          <w:sz w:val="28"/>
          <w:szCs w:val="28"/>
        </w:rPr>
        <w:t xml:space="preserve"> </w:t>
      </w:r>
      <w:r w:rsidRPr="001E34D9">
        <w:rPr>
          <w:spacing w:val="4"/>
          <w:sz w:val="28"/>
          <w:szCs w:val="28"/>
        </w:rPr>
        <w:t>с</w:t>
      </w:r>
      <w:r w:rsidR="00070EB7">
        <w:rPr>
          <w:spacing w:val="4"/>
          <w:sz w:val="28"/>
          <w:szCs w:val="28"/>
        </w:rPr>
        <w:t xml:space="preserve"> </w:t>
      </w:r>
      <w:r w:rsidRPr="001E34D9">
        <w:rPr>
          <w:spacing w:val="4"/>
          <w:sz w:val="28"/>
          <w:szCs w:val="28"/>
        </w:rPr>
        <w:t>одним</w:t>
      </w:r>
      <w:r w:rsidR="00070EB7">
        <w:rPr>
          <w:spacing w:val="4"/>
          <w:sz w:val="28"/>
          <w:szCs w:val="28"/>
        </w:rPr>
        <w:t xml:space="preserve"> </w:t>
      </w:r>
      <w:r w:rsidRPr="001E34D9">
        <w:rPr>
          <w:spacing w:val="4"/>
          <w:sz w:val="28"/>
          <w:szCs w:val="28"/>
        </w:rPr>
        <w:t>внешним</w:t>
      </w:r>
      <w:r w:rsidR="00070EB7">
        <w:rPr>
          <w:spacing w:val="4"/>
          <w:sz w:val="28"/>
          <w:szCs w:val="28"/>
        </w:rPr>
        <w:t xml:space="preserve"> </w:t>
      </w:r>
      <w:r w:rsidRPr="001E34D9">
        <w:rPr>
          <w:spacing w:val="4"/>
          <w:sz w:val="28"/>
          <w:szCs w:val="28"/>
        </w:rPr>
        <w:t>резонатором</w:t>
      </w:r>
      <w:r w:rsidR="00070EB7">
        <w:rPr>
          <w:spacing w:val="4"/>
          <w:sz w:val="28"/>
          <w:szCs w:val="28"/>
        </w:rPr>
        <w:t xml:space="preserve"> </w:t>
      </w:r>
      <w:r w:rsidRPr="001E34D9">
        <w:rPr>
          <w:spacing w:val="4"/>
          <w:sz w:val="28"/>
          <w:szCs w:val="28"/>
        </w:rPr>
        <w:t>(</w:t>
      </w:r>
      <w:r w:rsidRPr="001E34D9">
        <w:rPr>
          <w:bCs/>
          <w:spacing w:val="4"/>
          <w:sz w:val="28"/>
          <w:szCs w:val="28"/>
        </w:rPr>
        <w:t>ЕС</w:t>
      </w:r>
      <w:r w:rsidR="00070EB7">
        <w:rPr>
          <w:bCs/>
          <w:spacing w:val="4"/>
          <w:sz w:val="28"/>
          <w:szCs w:val="28"/>
        </w:rPr>
        <w:t xml:space="preserve"> </w:t>
      </w:r>
      <w:r w:rsidRPr="001E34D9">
        <w:rPr>
          <w:bCs/>
          <w:spacing w:val="4"/>
          <w:sz w:val="28"/>
          <w:szCs w:val="28"/>
        </w:rPr>
        <w:t>лазер)</w:t>
      </w:r>
    </w:p>
    <w:p w:rsidR="00AA60AC" w:rsidRPr="001E34D9" w:rsidRDefault="00AA60AC" w:rsidP="001E34D9">
      <w:pPr>
        <w:spacing w:after="0" w:line="240" w:lineRule="auto"/>
        <w:ind w:firstLine="709"/>
        <w:rPr>
          <w:sz w:val="28"/>
          <w:szCs w:val="28"/>
        </w:rPr>
      </w:pPr>
    </w:p>
    <w:p w:rsidR="006C3482" w:rsidRPr="001E34D9" w:rsidRDefault="006C3482" w:rsidP="001E34D9">
      <w:pPr>
        <w:spacing w:after="0" w:line="240" w:lineRule="auto"/>
        <w:ind w:firstLine="709"/>
        <w:jc w:val="center"/>
        <w:outlineLvl w:val="0"/>
        <w:rPr>
          <w:b/>
          <w:sz w:val="28"/>
          <w:szCs w:val="28"/>
        </w:rPr>
      </w:pPr>
      <w:r w:rsidRPr="001E34D9">
        <w:rPr>
          <w:b/>
          <w:sz w:val="28"/>
          <w:szCs w:val="28"/>
        </w:rPr>
        <w:t>Световод</w:t>
      </w:r>
    </w:p>
    <w:p w:rsidR="006C3482" w:rsidRPr="001E34D9" w:rsidRDefault="006C3482" w:rsidP="001E34D9">
      <w:pPr>
        <w:spacing w:after="0" w:line="240" w:lineRule="auto"/>
        <w:ind w:firstLine="709"/>
        <w:jc w:val="both"/>
        <w:outlineLvl w:val="0"/>
        <w:rPr>
          <w:b/>
          <w:sz w:val="28"/>
          <w:szCs w:val="28"/>
        </w:rPr>
      </w:pPr>
    </w:p>
    <w:p w:rsidR="006C3482" w:rsidRPr="001E34D9" w:rsidRDefault="006C3482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i/>
          <w:sz w:val="28"/>
          <w:szCs w:val="28"/>
        </w:rPr>
        <w:t>Диэлектрический</w:t>
      </w:r>
      <w:r w:rsidR="00070EB7">
        <w:rPr>
          <w:i/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волновод</w:t>
      </w:r>
      <w:r w:rsidR="00070EB7">
        <w:rPr>
          <w:i/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(световод)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представляет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собой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диэлектрический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цилиндр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радиуса</w:t>
      </w:r>
      <w:r w:rsidR="00070EB7">
        <w:rPr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выполненный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диэлектрика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параметрами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65"/>
      </w:r>
      <w:r w:rsidRPr="001E34D9">
        <w:rPr>
          <w:i/>
          <w:sz w:val="28"/>
          <w:szCs w:val="28"/>
          <w:vertAlign w:val="subscript"/>
        </w:rPr>
        <w:t>а</w:t>
      </w:r>
      <w:r w:rsidRPr="001E34D9">
        <w:rPr>
          <w:sz w:val="28"/>
          <w:szCs w:val="28"/>
        </w:rPr>
        <w:t>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6D"/>
      </w:r>
      <w:r w:rsidRPr="001E34D9">
        <w:rPr>
          <w:i/>
          <w:sz w:val="28"/>
          <w:szCs w:val="28"/>
          <w:vertAlign w:val="subscript"/>
        </w:rPr>
        <w:t>а</w:t>
      </w:r>
      <w:r w:rsidRPr="001E34D9">
        <w:rPr>
          <w:sz w:val="28"/>
          <w:szCs w:val="28"/>
        </w:rPr>
        <w:t>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диэлектрическом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существовать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бесконечно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большое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число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типов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имеющих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различный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характер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изменения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поля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координатам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6A"/>
      </w:r>
      <w:r w:rsidRPr="001E34D9">
        <w:rPr>
          <w:sz w:val="28"/>
          <w:szCs w:val="28"/>
        </w:rPr>
        <w:t>,</w:t>
      </w:r>
      <w:r w:rsidR="00070EB7">
        <w:rPr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r</w:t>
      </w:r>
      <w:r w:rsidRPr="001E34D9">
        <w:rPr>
          <w:sz w:val="28"/>
          <w:szCs w:val="28"/>
        </w:rPr>
        <w:t>.</w:t>
      </w:r>
    </w:p>
    <w:p w:rsidR="006C3482" w:rsidRPr="001E34D9" w:rsidRDefault="006C3482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i/>
          <w:sz w:val="28"/>
          <w:szCs w:val="28"/>
        </w:rPr>
        <w:t>Основным</w:t>
      </w:r>
      <w:r w:rsidR="00070EB7">
        <w:rPr>
          <w:i/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типом</w:t>
      </w:r>
      <w:r w:rsidR="00070EB7">
        <w:rPr>
          <w:i/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волны</w:t>
      </w:r>
      <w:r w:rsidR="00070EB7">
        <w:rPr>
          <w:i/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волна</w:t>
      </w:r>
      <w:r w:rsidR="00070EB7">
        <w:rPr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НЕ</w:t>
      </w:r>
      <w:r w:rsidRPr="001E34D9">
        <w:rPr>
          <w:sz w:val="28"/>
          <w:szCs w:val="28"/>
          <w:vertAlign w:val="subscript"/>
        </w:rPr>
        <w:t>11</w:t>
      </w:r>
      <w:r w:rsidRPr="001E34D9">
        <w:rPr>
          <w:sz w:val="28"/>
          <w:szCs w:val="28"/>
        </w:rPr>
        <w:t>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являющаяся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суперпозицией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</w:t>
      </w:r>
      <w:r w:rsidR="00070EB7">
        <w:rPr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Н</w:t>
      </w:r>
      <w:r w:rsidRPr="001E34D9">
        <w:rPr>
          <w:sz w:val="28"/>
          <w:szCs w:val="28"/>
          <w:vertAlign w:val="subscript"/>
        </w:rPr>
        <w:t>11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i/>
          <w:sz w:val="28"/>
          <w:szCs w:val="28"/>
        </w:rPr>
        <w:t>Е</w:t>
      </w:r>
      <w:r w:rsidRPr="001E34D9">
        <w:rPr>
          <w:sz w:val="28"/>
          <w:szCs w:val="28"/>
          <w:vertAlign w:val="subscript"/>
        </w:rPr>
        <w:t>11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круглого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может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распространяться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вдоль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любых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частотах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любых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его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диаметрах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</w:t>
      </w:r>
      <w:r w:rsidRPr="001E34D9">
        <w:rPr>
          <w:sz w:val="28"/>
          <w:szCs w:val="28"/>
        </w:rPr>
        <w:sym w:font="Symbol" w:char="F06C"/>
      </w:r>
      <w:r w:rsidRPr="001E34D9">
        <w:rPr>
          <w:sz w:val="28"/>
          <w:szCs w:val="28"/>
          <w:vertAlign w:val="subscript"/>
        </w:rPr>
        <w:t>кр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=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A5"/>
      </w:r>
      <w:r w:rsidRPr="001E34D9">
        <w:rPr>
          <w:sz w:val="28"/>
          <w:szCs w:val="28"/>
        </w:rPr>
        <w:t>).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Величина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фазовой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диэлектрическом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лежит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между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величиной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распространяющейся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окружающей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величиной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фазовой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скорости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же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среде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параметрами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65"/>
      </w:r>
      <w:r w:rsidRPr="001E34D9">
        <w:rPr>
          <w:i/>
          <w:sz w:val="28"/>
          <w:szCs w:val="28"/>
          <w:vertAlign w:val="subscript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6D"/>
      </w:r>
      <w:r w:rsidRPr="001E34D9">
        <w:rPr>
          <w:i/>
          <w:sz w:val="28"/>
          <w:szCs w:val="28"/>
          <w:vertAlign w:val="subscript"/>
        </w:rPr>
        <w:t>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(такими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же,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параметры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диэлектрического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волновода).</w:t>
      </w:r>
    </w:p>
    <w:p w:rsidR="006C3482" w:rsidRPr="001E34D9" w:rsidRDefault="006C3482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Энергия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этом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внутри,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так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диэлектрика.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волновода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переносится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поверхностной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волной.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радиус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сравнению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длиной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волны,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sym w:font="Symbol" w:char="F065"/>
      </w:r>
      <w:r w:rsidRPr="001E34D9">
        <w:rPr>
          <w:i/>
          <w:sz w:val="28"/>
          <w:szCs w:val="28"/>
          <w:vertAlign w:val="subscript"/>
        </w:rPr>
        <w:t>а</w:t>
      </w:r>
      <w:r w:rsidRPr="001E34D9">
        <w:rPr>
          <w:i/>
          <w:sz w:val="28"/>
          <w:szCs w:val="28"/>
        </w:rPr>
        <w:t>/</w:t>
      </w:r>
      <w:r w:rsidRPr="001E34D9">
        <w:rPr>
          <w:sz w:val="28"/>
          <w:szCs w:val="28"/>
        </w:rPr>
        <w:sym w:font="Symbol" w:char="F065"/>
      </w:r>
      <w:r w:rsidRPr="001E34D9">
        <w:rPr>
          <w:sz w:val="28"/>
          <w:szCs w:val="28"/>
          <w:vertAlign w:val="subscript"/>
        </w:rPr>
        <w:t>0</w:t>
      </w:r>
      <w:r w:rsidRPr="001E34D9">
        <w:rPr>
          <w:sz w:val="28"/>
          <w:szCs w:val="28"/>
        </w:rPr>
        <w:t>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тем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большая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часть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энергии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распространяется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внутри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волновода.</w:t>
      </w:r>
    </w:p>
    <w:p w:rsidR="006C3482" w:rsidRPr="001E34D9" w:rsidRDefault="006C3482" w:rsidP="001E34D9">
      <w:pPr>
        <w:spacing w:after="0" w:line="240" w:lineRule="auto"/>
        <w:ind w:firstLine="709"/>
        <w:jc w:val="both"/>
        <w:rPr>
          <w:sz w:val="28"/>
          <w:szCs w:val="28"/>
        </w:rPr>
      </w:pPr>
      <w:r w:rsidRPr="001E34D9">
        <w:rPr>
          <w:sz w:val="28"/>
          <w:szCs w:val="28"/>
        </w:rPr>
        <w:t>По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мере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приближения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критической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частоте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энергия,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переносимая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внутри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диэлектрика,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стремится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к</w:t>
      </w:r>
      <w:r w:rsidR="00070EB7">
        <w:rPr>
          <w:sz w:val="28"/>
          <w:szCs w:val="28"/>
        </w:rPr>
        <w:t xml:space="preserve"> </w:t>
      </w:r>
      <w:r w:rsidRPr="001E34D9">
        <w:rPr>
          <w:sz w:val="28"/>
          <w:szCs w:val="28"/>
        </w:rPr>
        <w:t>нулю.</w:t>
      </w:r>
    </w:p>
    <w:p w:rsidR="006C3482" w:rsidRPr="001E34D9" w:rsidRDefault="006C3482" w:rsidP="001E34D9">
      <w:pPr>
        <w:pStyle w:val="21"/>
        <w:spacing w:line="240" w:lineRule="auto"/>
        <w:ind w:firstLine="709"/>
        <w:rPr>
          <w:noProof w:val="0"/>
          <w:szCs w:val="28"/>
        </w:rPr>
      </w:pPr>
      <w:r w:rsidRPr="001E34D9">
        <w:rPr>
          <w:noProof w:val="0"/>
          <w:szCs w:val="28"/>
        </w:rPr>
        <w:t>Распространение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волн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в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световоде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можно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объяснить,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используя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явление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полного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внутреннего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отражения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от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границы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раздела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двух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диэлектриков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(см.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раздел</w:t>
      </w:r>
      <w:r w:rsidR="00070EB7">
        <w:rPr>
          <w:noProof w:val="0"/>
          <w:szCs w:val="28"/>
        </w:rPr>
        <w:t xml:space="preserve"> </w:t>
      </w:r>
      <w:r w:rsidRPr="001E34D9">
        <w:rPr>
          <w:noProof w:val="0"/>
          <w:szCs w:val="28"/>
        </w:rPr>
        <w:t>5).</w:t>
      </w:r>
    </w:p>
    <w:p w:rsidR="006C3482" w:rsidRPr="001E34D9" w:rsidRDefault="006C3482" w:rsidP="001E34D9">
      <w:pPr>
        <w:pStyle w:val="21"/>
        <w:spacing w:line="240" w:lineRule="auto"/>
        <w:ind w:firstLine="709"/>
        <w:rPr>
          <w:noProof w:val="0"/>
          <w:szCs w:val="28"/>
        </w:rPr>
      </w:pPr>
    </w:p>
    <w:tbl>
      <w:tblPr>
        <w:tblW w:w="9750" w:type="dxa"/>
        <w:tblCellSpacing w:w="0" w:type="dxa"/>
        <w:tblInd w:w="-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00"/>
        <w:gridCol w:w="75"/>
        <w:gridCol w:w="4050"/>
        <w:gridCol w:w="525"/>
      </w:tblGrid>
      <w:tr w:rsidR="001E34D9" w:rsidRPr="001E34D9" w:rsidTr="00B209A6">
        <w:trPr>
          <w:trHeight w:val="3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34D9" w:rsidRPr="001E34D9" w:rsidRDefault="001E34D9" w:rsidP="001E34D9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34D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Список</w:t>
            </w:r>
            <w:r w:rsidR="00070EB7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E34D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литературы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34D9" w:rsidRPr="001E34D9" w:rsidRDefault="001E34D9" w:rsidP="00B209A6">
            <w:pPr>
              <w:pStyle w:val="aa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2EFE9"/>
            <w:vAlign w:val="center"/>
          </w:tcPr>
          <w:p w:rsidR="001E34D9" w:rsidRPr="001E34D9" w:rsidRDefault="001E34D9" w:rsidP="00B209A6">
            <w:pPr>
              <w:pStyle w:val="aa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34D9" w:rsidRPr="001E34D9" w:rsidRDefault="001E34D9" w:rsidP="00B209A6">
            <w:pPr>
              <w:pStyle w:val="aa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Бакланов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И.Г.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Тестирование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диагностика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Эко-Трендз,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2001г.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268с.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Вербовецкий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А.А.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Основы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проектирования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цифровых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оптоэлектронных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Радио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связь,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2000г.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160с.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Введение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технику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измерений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оптико-физических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параметров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световодных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А.Ф.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Котюк,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Ю.А.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Курчатов,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Ю.П.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Майборода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др.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ред.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А.Ф.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Котюка.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Радио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связь,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1987г.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224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4.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Волноводная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оптоэлектроника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/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под.ред.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Т.Тамира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М.: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Мир,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1991г.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575с.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5.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Волоконно-оптическая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техника: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история,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достижения,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перспективы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Сборник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статей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редакцией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Дмитриева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С.А.,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Слепова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М:Издательство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Connect,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2000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375с.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илл.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Гольдфарб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И.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Развитие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техники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оптических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кабелей: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обзор.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информ.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Центральный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научно-исследовательский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институт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М.: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1996г.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84с.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Иванов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А.Б.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Волоконная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оптика: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компоненты,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передачи,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измерения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Компания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САЙРУС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СИСТЕМС,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1999г.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672с.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Иванов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А.Б.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Контроль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соответствия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телекоммуникациях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Часть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М.: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Компания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САЙРУС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СИСТЕМС,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2000г.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376с.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Ионов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А.Д.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Волоконно-оптические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линии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передачи.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Учебное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пособие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Новосибирск,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1999г.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132с.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Иоргачев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Д.В.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Бондаренко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О.В.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Волоконно-оптические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кабели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линии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М.: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Эко-трендз,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2002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284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с.</w:t>
      </w:r>
    </w:p>
    <w:p w:rsidR="001E34D9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11.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Ксенофонов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С.Н.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Портнов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Э.Л.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Задачник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курсу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«Линии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связи»,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часть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МТУСИ.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М.,1998.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45с.</w:t>
      </w:r>
    </w:p>
    <w:p w:rsidR="00AA60AC" w:rsidRPr="001E34D9" w:rsidRDefault="001E34D9" w:rsidP="001E34D9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1E34D9">
        <w:rPr>
          <w:rFonts w:ascii="Times New Roman" w:hAnsi="Times New Roman" w:cs="Times New Roman"/>
          <w:sz w:val="28"/>
          <w:szCs w:val="28"/>
          <w:lang w:eastAsia="ru-RU"/>
        </w:rPr>
        <w:t>12.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Мальке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Г.,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Гессинг</w:t>
      </w:r>
      <w:r w:rsidR="00070EB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bCs/>
          <w:sz w:val="28"/>
          <w:szCs w:val="28"/>
          <w:lang w:eastAsia="ru-RU"/>
        </w:rPr>
        <w:t>П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Волоконно-оптические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кабели.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Планирование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систем.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Siemens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Aktiengesellscaft.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Перевод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англ.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Novosibirsk,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1997г.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0E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34D9">
        <w:rPr>
          <w:rFonts w:ascii="Times New Roman" w:hAnsi="Times New Roman" w:cs="Times New Roman"/>
          <w:sz w:val="28"/>
          <w:szCs w:val="28"/>
          <w:lang w:eastAsia="ru-RU"/>
        </w:rPr>
        <w:t>228с.</w:t>
      </w:r>
    </w:p>
    <w:sectPr w:rsidR="00AA60AC" w:rsidRPr="001E34D9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AA" w:rsidRDefault="003351AA" w:rsidP="00AA60AC">
      <w:pPr>
        <w:spacing w:after="0" w:line="240" w:lineRule="auto"/>
      </w:pPr>
      <w:r>
        <w:separator/>
      </w:r>
    </w:p>
  </w:endnote>
  <w:endnote w:type="continuationSeparator" w:id="0">
    <w:p w:rsidR="003351AA" w:rsidRDefault="003351AA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1AA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AA" w:rsidRDefault="003351AA" w:rsidP="00AA60AC">
      <w:pPr>
        <w:spacing w:after="0" w:line="240" w:lineRule="auto"/>
      </w:pPr>
      <w:r>
        <w:separator/>
      </w:r>
    </w:p>
  </w:footnote>
  <w:footnote w:type="continuationSeparator" w:id="0">
    <w:p w:rsidR="003351AA" w:rsidRDefault="003351AA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57F83"/>
    <w:multiLevelType w:val="hybridMultilevel"/>
    <w:tmpl w:val="123A79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743D22DA"/>
    <w:multiLevelType w:val="multilevel"/>
    <w:tmpl w:val="A00ED2BC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70EB7"/>
    <w:rsid w:val="001E34D9"/>
    <w:rsid w:val="003351AA"/>
    <w:rsid w:val="00425319"/>
    <w:rsid w:val="006C3482"/>
    <w:rsid w:val="009E2A14"/>
    <w:rsid w:val="00A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4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rsid w:val="006C3482"/>
    <w:pPr>
      <w:spacing w:after="0" w:line="360" w:lineRule="auto"/>
      <w:ind w:firstLine="851"/>
      <w:jc w:val="both"/>
    </w:pPr>
    <w:rPr>
      <w:rFonts w:eastAsia="Times New Roman"/>
      <w:noProof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6C348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34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7">
    <w:name w:val="Hyperlink"/>
    <w:basedOn w:val="a0"/>
    <w:uiPriority w:val="99"/>
    <w:rsid w:val="001E34D9"/>
    <w:rPr>
      <w:rFonts w:cs="Times New Roman"/>
      <w:color w:val="0000FF"/>
      <w:u w:val="single"/>
    </w:rPr>
  </w:style>
  <w:style w:type="paragraph" w:styleId="a8">
    <w:name w:val="List Paragraph"/>
    <w:basedOn w:val="a"/>
    <w:uiPriority w:val="34"/>
    <w:qFormat/>
    <w:rsid w:val="001E34D9"/>
    <w:pPr>
      <w:spacing w:after="0" w:line="240" w:lineRule="auto"/>
      <w:ind w:left="720"/>
      <w:contextualSpacing/>
    </w:pPr>
    <w:rPr>
      <w:rFonts w:eastAsia="Times New Roman"/>
      <w:lang w:eastAsia="ru-RU"/>
    </w:rPr>
  </w:style>
  <w:style w:type="paragraph" w:styleId="a9">
    <w:name w:val="Normal (Web)"/>
    <w:basedOn w:val="a"/>
    <w:uiPriority w:val="99"/>
    <w:unhideWhenUsed/>
    <w:rsid w:val="001E34D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1E34D9"/>
  </w:style>
  <w:style w:type="paragraph" w:styleId="aa">
    <w:name w:val="No Spacing"/>
    <w:uiPriority w:val="1"/>
    <w:qFormat/>
    <w:rsid w:val="001E3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5.tmp"/><Relationship Id="rId3" Type="http://schemas.openxmlformats.org/officeDocument/2006/relationships/settings" Target="settings.xml"/><Relationship Id="rId21" Type="http://schemas.openxmlformats.org/officeDocument/2006/relationships/image" Target="media/image10.tmp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4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tmp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tmp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lanmark.ru/catalog/97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1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3756</Words>
  <Characters>21411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Световод</vt:lpstr>
      <vt:lpstr/>
    </vt:vector>
  </TitlesOfParts>
  <Company>SPecialiST RePack</Company>
  <LinksUpToDate>false</LinksUpToDate>
  <CharactersWithSpaces>25117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2024-02-08T11:35:00Z</dcterms:created>
  <dcterms:modified xsi:type="dcterms:W3CDTF">2024-02-15T21:06:00Z</dcterms:modified>
</cp:coreProperties>
</file>