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361" w:rsidRPr="003C2F44" w:rsidRDefault="003C2F44" w:rsidP="00142540">
      <w:pPr>
        <w:ind w:leftChars="64" w:lef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9B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  <w:r w:rsidRPr="003C2F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2F44" w:rsidRPr="003C2F44" w:rsidRDefault="003C2F44" w:rsidP="00142540">
      <w:pPr>
        <w:pStyle w:val="a3"/>
        <w:tabs>
          <w:tab w:val="clear" w:pos="454"/>
          <w:tab w:val="right" w:leader="dot" w:pos="9356"/>
        </w:tabs>
        <w:spacing w:after="120" w:line="252" w:lineRule="auto"/>
        <w:ind w:leftChars="64" w:left="141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1. </w:t>
      </w:r>
      <w:r w:rsidRPr="003C2F44">
        <w:rPr>
          <w:szCs w:val="28"/>
        </w:rPr>
        <w:t>Волоконные световоды и другие линии передачи</w:t>
      </w:r>
    </w:p>
    <w:p w:rsidR="003C2F44" w:rsidRPr="003C2F44" w:rsidRDefault="00142540" w:rsidP="00142540">
      <w:pPr>
        <w:pStyle w:val="a3"/>
        <w:tabs>
          <w:tab w:val="clear" w:pos="454"/>
          <w:tab w:val="right" w:leader="dot" w:pos="9356"/>
        </w:tabs>
        <w:spacing w:after="120" w:line="252" w:lineRule="auto"/>
        <w:ind w:leftChars="64" w:left="141"/>
        <w:jc w:val="left"/>
        <w:rPr>
          <w:caps/>
          <w:szCs w:val="28"/>
        </w:rPr>
      </w:pPr>
      <w:r>
        <w:rPr>
          <w:caps/>
          <w:szCs w:val="28"/>
        </w:rPr>
        <w:t>2</w:t>
      </w:r>
      <w:r w:rsidR="003C2F44" w:rsidRPr="003C2F44">
        <w:rPr>
          <w:caps/>
          <w:szCs w:val="28"/>
        </w:rPr>
        <w:t xml:space="preserve">. </w:t>
      </w:r>
      <w:r w:rsidR="003C2F44" w:rsidRPr="003C2F44">
        <w:rPr>
          <w:szCs w:val="28"/>
        </w:rPr>
        <w:t>Волновые процессы в нерегулярных линиях</w:t>
      </w:r>
    </w:p>
    <w:p w:rsidR="003C2F44" w:rsidRPr="003C2F44" w:rsidRDefault="00142540" w:rsidP="00142540">
      <w:pPr>
        <w:pStyle w:val="a3"/>
        <w:tabs>
          <w:tab w:val="clear" w:pos="454"/>
          <w:tab w:val="right" w:leader="dot" w:pos="9356"/>
        </w:tabs>
        <w:spacing w:after="120" w:line="252" w:lineRule="auto"/>
        <w:ind w:leftChars="64" w:left="141"/>
        <w:jc w:val="left"/>
        <w:rPr>
          <w:caps/>
          <w:szCs w:val="28"/>
        </w:rPr>
      </w:pPr>
      <w:r>
        <w:rPr>
          <w:caps/>
          <w:szCs w:val="28"/>
        </w:rPr>
        <w:t>3</w:t>
      </w:r>
      <w:r w:rsidR="003C2F44" w:rsidRPr="003C2F44">
        <w:rPr>
          <w:caps/>
          <w:szCs w:val="28"/>
        </w:rPr>
        <w:t xml:space="preserve">. </w:t>
      </w:r>
      <w:r w:rsidR="003C2F44" w:rsidRPr="003C2F44">
        <w:rPr>
          <w:szCs w:val="28"/>
        </w:rPr>
        <w:t>Элементы линий передачи</w:t>
      </w:r>
    </w:p>
    <w:p w:rsidR="003C2F44" w:rsidRPr="003C2F44" w:rsidRDefault="00142540" w:rsidP="00142540">
      <w:pPr>
        <w:pStyle w:val="a3"/>
        <w:tabs>
          <w:tab w:val="clear" w:pos="454"/>
          <w:tab w:val="right" w:leader="dot" w:pos="9356"/>
        </w:tabs>
        <w:spacing w:after="120" w:line="252" w:lineRule="auto"/>
        <w:ind w:leftChars="64" w:left="141"/>
        <w:jc w:val="left"/>
        <w:rPr>
          <w:caps/>
          <w:szCs w:val="28"/>
        </w:rPr>
      </w:pPr>
      <w:r>
        <w:rPr>
          <w:caps/>
          <w:szCs w:val="28"/>
        </w:rPr>
        <w:t>4</w:t>
      </w:r>
      <w:r w:rsidR="003C2F44" w:rsidRPr="003C2F44">
        <w:rPr>
          <w:caps/>
          <w:szCs w:val="28"/>
        </w:rPr>
        <w:t xml:space="preserve">. </w:t>
      </w:r>
      <w:r w:rsidR="003C2F44" w:rsidRPr="003C2F44">
        <w:rPr>
          <w:szCs w:val="28"/>
        </w:rPr>
        <w:t>Объемные резонаторы</w:t>
      </w:r>
    </w:p>
    <w:p w:rsidR="0048319B" w:rsidRPr="00142540" w:rsidRDefault="0048319B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>Радиорелейные линии связи</w:t>
      </w:r>
    </w:p>
    <w:p w:rsidR="0048319B" w:rsidRPr="00142540" w:rsidRDefault="0048319B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>Расчет устойчивости связи в радиорелейной линии</w:t>
      </w:r>
    </w:p>
    <w:p w:rsidR="0048319B" w:rsidRDefault="0048319B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системы передачи информации</w:t>
      </w:r>
    </w:p>
    <w:p w:rsidR="0048319B" w:rsidRDefault="0048319B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допустимый множитель ослабления в РРЛ</w:t>
      </w:r>
    </w:p>
    <w:p w:rsidR="0048319B" w:rsidRDefault="0048319B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Замирания сигнала в пролете РРЛ, вызванные рассеянием электромагнитной энергией в дожде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Спутниковые системы связи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Алгоритм формирования вновь образованных последовательностей (ВОП)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Интерференционные замирания на пролете РРЛ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Шумы в телефонных каналах РРЛ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Источники шумов в каскадах передатчика и приемника РРЛ. Структурная схема передатчика и приемника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Критерий устойчивой связи на РРЛ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Множитель ослабления в дожде и учет шумов космических источников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Спутниковые системы связи с МДВР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Особенности алгоритма формирования М-последовательностей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Алгоритмы формирования псевдослучайных последовательностей (ПСП). Линейные рекуррентные последовательности</w:t>
      </w:r>
    </w:p>
    <w:p w:rsidR="0048319B" w:rsidRDefault="00142540" w:rsidP="00142540">
      <w:pPr>
        <w:pStyle w:val="a5"/>
        <w:numPr>
          <w:ilvl w:val="0"/>
          <w:numId w:val="3"/>
        </w:numPr>
        <w:ind w:leftChars="64" w:left="501"/>
        <w:rPr>
          <w:rFonts w:ascii="Times New Roman" w:hAnsi="Times New Roman" w:cs="Times New Roman"/>
          <w:sz w:val="28"/>
          <w:szCs w:val="28"/>
        </w:rPr>
      </w:pPr>
      <w:r w:rsidRPr="00142540">
        <w:rPr>
          <w:rFonts w:ascii="Times New Roman" w:hAnsi="Times New Roman" w:cs="Times New Roman"/>
          <w:sz w:val="28"/>
          <w:szCs w:val="28"/>
        </w:rPr>
        <w:t xml:space="preserve"> </w:t>
      </w:r>
      <w:r w:rsidR="0048319B">
        <w:rPr>
          <w:rFonts w:ascii="Times New Roman" w:hAnsi="Times New Roman" w:cs="Times New Roman"/>
          <w:sz w:val="28"/>
          <w:szCs w:val="28"/>
        </w:rPr>
        <w:t>Основные характеристики новых спутников «Экспресс»</w:t>
      </w:r>
    </w:p>
    <w:p w:rsidR="00142540" w:rsidRPr="00142540" w:rsidRDefault="00142540" w:rsidP="00142540">
      <w:pPr>
        <w:pStyle w:val="a5"/>
        <w:numPr>
          <w:ilvl w:val="0"/>
          <w:numId w:val="3"/>
        </w:numPr>
        <w:ind w:leftChars="64" w:left="501"/>
        <w:jc w:val="right"/>
        <w:rPr>
          <w:rFonts w:ascii="Times New Roman" w:hAnsi="Times New Roman" w:cs="Times New Roman"/>
          <w:sz w:val="28"/>
          <w:szCs w:val="28"/>
        </w:rPr>
      </w:pP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left" w:pos="6525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Введение в теорию ЭМП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left" w:pos="9315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Основные уравнения теории ЭМП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left" w:pos="8670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Граничные условия для векторов ЭМП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Баланс энергии ЭМП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Волновые уравнения для векторов ЭМП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Плоские ЭМВ в диэлектриках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ЭМП в проводниках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ЭМВ в реальных средах. Поляризация ЭМВ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ЭМВ на границе раздела двух сред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t xml:space="preserve"> Классификация ЭМП. </w:t>
      </w:r>
      <w:proofErr w:type="spellStart"/>
      <w:r w:rsidRPr="003C2F44">
        <w:rPr>
          <w:szCs w:val="28"/>
        </w:rPr>
        <w:t>Особенностиквазистационарного</w:t>
      </w:r>
      <w:proofErr w:type="spellEnd"/>
      <w:r w:rsidRPr="003C2F44">
        <w:rPr>
          <w:szCs w:val="28"/>
        </w:rPr>
        <w:t xml:space="preserve"> ЭМП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szCs w:val="28"/>
        </w:rPr>
        <w:lastRenderedPageBreak/>
        <w:t xml:space="preserve"> Электродинамические потенциалы. Основные теоремы и принципы электродинамики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 </w:t>
      </w:r>
      <w:r w:rsidRPr="003C2F44">
        <w:rPr>
          <w:szCs w:val="28"/>
        </w:rPr>
        <w:t xml:space="preserve">Излучение </w:t>
      </w:r>
      <w:r w:rsidRPr="003C2F44">
        <w:rPr>
          <w:caps/>
          <w:szCs w:val="28"/>
        </w:rPr>
        <w:t>эмв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 </w:t>
      </w:r>
      <w:r w:rsidRPr="003C2F44">
        <w:rPr>
          <w:szCs w:val="28"/>
        </w:rPr>
        <w:t xml:space="preserve">Плоские </w:t>
      </w:r>
      <w:r w:rsidRPr="003C2F44">
        <w:rPr>
          <w:caps/>
          <w:szCs w:val="28"/>
        </w:rPr>
        <w:t xml:space="preserve">эмв </w:t>
      </w:r>
      <w:r w:rsidRPr="003C2F44">
        <w:rPr>
          <w:szCs w:val="28"/>
        </w:rPr>
        <w:t>в анизотропной среде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 </w:t>
      </w:r>
      <w:r w:rsidRPr="003C2F44">
        <w:rPr>
          <w:szCs w:val="28"/>
        </w:rPr>
        <w:t xml:space="preserve">Дифракция </w:t>
      </w:r>
      <w:r w:rsidRPr="003C2F44">
        <w:rPr>
          <w:caps/>
          <w:szCs w:val="28"/>
        </w:rPr>
        <w:t>эмв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142540">
        <w:rPr>
          <w:szCs w:val="28"/>
        </w:rPr>
        <w:t xml:space="preserve"> </w:t>
      </w:r>
      <w:r w:rsidRPr="003C2F44">
        <w:rPr>
          <w:szCs w:val="28"/>
        </w:rPr>
        <w:t>Условия распространения ЭМВ в направляющих системах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 </w:t>
      </w:r>
      <w:r w:rsidRPr="003C2F44">
        <w:rPr>
          <w:szCs w:val="28"/>
        </w:rPr>
        <w:t>Полые металлические волноводы</w:t>
      </w:r>
    </w:p>
    <w:p w:rsidR="00142540" w:rsidRPr="003C2F44" w:rsidRDefault="00142540" w:rsidP="00142540">
      <w:pPr>
        <w:pStyle w:val="a3"/>
        <w:numPr>
          <w:ilvl w:val="0"/>
          <w:numId w:val="3"/>
        </w:numPr>
        <w:tabs>
          <w:tab w:val="clear" w:pos="454"/>
          <w:tab w:val="right" w:leader="dot" w:pos="9356"/>
        </w:tabs>
        <w:spacing w:after="120" w:line="252" w:lineRule="auto"/>
        <w:ind w:leftChars="64" w:left="501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 </w:t>
      </w:r>
      <w:r w:rsidRPr="003C2F44">
        <w:rPr>
          <w:szCs w:val="28"/>
        </w:rPr>
        <w:t xml:space="preserve">Линии передачи </w:t>
      </w:r>
      <w:r w:rsidRPr="003C2F44">
        <w:rPr>
          <w:caps/>
          <w:szCs w:val="28"/>
        </w:rPr>
        <w:t>Т-</w:t>
      </w:r>
      <w:r w:rsidRPr="003C2F44">
        <w:rPr>
          <w:szCs w:val="28"/>
        </w:rPr>
        <w:t>волны</w:t>
      </w:r>
    </w:p>
    <w:p w:rsidR="00142540" w:rsidRPr="00142540" w:rsidRDefault="00142540" w:rsidP="00142540">
      <w:pPr>
        <w:ind w:leftChars="64" w:left="141"/>
        <w:rPr>
          <w:rFonts w:ascii="Times New Roman" w:hAnsi="Times New Roman" w:cs="Times New Roman"/>
          <w:sz w:val="28"/>
          <w:szCs w:val="28"/>
        </w:rPr>
      </w:pPr>
    </w:p>
    <w:p w:rsidR="00840F5E" w:rsidRPr="0048319B" w:rsidRDefault="00840F5E" w:rsidP="00142540">
      <w:pPr>
        <w:ind w:leftChars="64" w:left="141"/>
        <w:rPr>
          <w:rFonts w:ascii="Times New Roman" w:hAnsi="Times New Roman" w:cs="Times New Roman"/>
          <w:sz w:val="28"/>
          <w:szCs w:val="28"/>
        </w:rPr>
      </w:pPr>
    </w:p>
    <w:sectPr w:rsidR="00840F5E" w:rsidRPr="0048319B" w:rsidSect="003C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3514" w:rsidRDefault="00163514" w:rsidP="00142540">
      <w:pPr>
        <w:spacing w:after="0" w:line="240" w:lineRule="auto"/>
      </w:pPr>
      <w:r>
        <w:separator/>
      </w:r>
    </w:p>
  </w:endnote>
  <w:endnote w:type="continuationSeparator" w:id="0">
    <w:p w:rsidR="00163514" w:rsidRDefault="00163514" w:rsidP="0014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3514" w:rsidRDefault="00163514" w:rsidP="00142540">
      <w:pPr>
        <w:spacing w:after="0" w:line="240" w:lineRule="auto"/>
      </w:pPr>
      <w:r>
        <w:separator/>
      </w:r>
    </w:p>
  </w:footnote>
  <w:footnote w:type="continuationSeparator" w:id="0">
    <w:p w:rsidR="00163514" w:rsidRDefault="00163514" w:rsidP="00142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A7EAD"/>
    <w:multiLevelType w:val="hybridMultilevel"/>
    <w:tmpl w:val="F578AF9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0A6049D"/>
    <w:multiLevelType w:val="hybridMultilevel"/>
    <w:tmpl w:val="630AD1E0"/>
    <w:lvl w:ilvl="0" w:tplc="993ABE6A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5D5D7B"/>
    <w:multiLevelType w:val="hybridMultilevel"/>
    <w:tmpl w:val="BA642F64"/>
    <w:lvl w:ilvl="0" w:tplc="E90AA198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1871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4063422">
    <w:abstractNumId w:val="2"/>
  </w:num>
  <w:num w:numId="3" w16cid:durableId="12439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5E"/>
    <w:rsid w:val="00142540"/>
    <w:rsid w:val="00163514"/>
    <w:rsid w:val="003B1A83"/>
    <w:rsid w:val="003C2F44"/>
    <w:rsid w:val="0048319B"/>
    <w:rsid w:val="00840F5E"/>
    <w:rsid w:val="00B00D4F"/>
    <w:rsid w:val="00D61361"/>
    <w:rsid w:val="00D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2A23D"/>
  <w15:chartTrackingRefBased/>
  <w15:docId w15:val="{4D2F7978-7380-4513-ADB9-F4C32CE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C2F44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3C2F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8319B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42540"/>
    <w:pPr>
      <w:tabs>
        <w:tab w:val="center" w:pos="4513"/>
        <w:tab w:val="right" w:pos="9026"/>
      </w:tabs>
      <w:snapToGrid w:val="0"/>
    </w:pPr>
  </w:style>
  <w:style w:type="character" w:customStyle="1" w:styleId="a7">
    <w:name w:val="Верхний колонтитул Знак"/>
    <w:basedOn w:val="a0"/>
    <w:link w:val="a6"/>
    <w:uiPriority w:val="99"/>
    <w:rsid w:val="00142540"/>
  </w:style>
  <w:style w:type="paragraph" w:styleId="a8">
    <w:name w:val="footer"/>
    <w:basedOn w:val="a"/>
    <w:link w:val="a9"/>
    <w:uiPriority w:val="99"/>
    <w:unhideWhenUsed/>
    <w:rsid w:val="00142540"/>
    <w:pPr>
      <w:tabs>
        <w:tab w:val="center" w:pos="4513"/>
        <w:tab w:val="right" w:pos="9026"/>
      </w:tabs>
      <w:snapToGrid w:val="0"/>
    </w:pPr>
  </w:style>
  <w:style w:type="character" w:customStyle="1" w:styleId="a9">
    <w:name w:val="Нижний колонтитул Знак"/>
    <w:basedOn w:val="a0"/>
    <w:link w:val="a8"/>
    <w:uiPriority w:val="99"/>
    <w:rsid w:val="00142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</cp:revision>
  <dcterms:created xsi:type="dcterms:W3CDTF">2024-05-07T07:54:00Z</dcterms:created>
  <dcterms:modified xsi:type="dcterms:W3CDTF">2024-05-21T06:53:00Z</dcterms:modified>
</cp:coreProperties>
</file>