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拆分应用</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t>Splitting up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a large, microserviced system, your root single-spa configuration and each of the applications should probably have its own git repository. How to do that in a javascript project isn't necessarily clear, so some options are listed below.</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Since single-spa is a framework that helps with organizational scaling, it is important to figure out how to split out and separate applications from each other so that developers and teams can work on the applications without interfering one another.</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Most interpretations of microservice architecture encourage separate code repositories, builds, and deployments. Although </w:t>
      </w:r>
      <w:r>
        <w:rPr>
          <w:rFonts w:ascii="微软雅黑" w:hAnsi="微软雅黑" w:eastAsia="微软雅黑"/>
          <w:color w:val="1c1e21"/>
          <w:sz w:val="24"/>
          <w:szCs w:val="24"/>
        </w:rPr>
        <w:t>single-spa does not solve how code is hosted, built, or deployed</w:t>
      </w:r>
      <w:r>
        <w:rPr>
          <w:rFonts w:ascii="微软雅黑" w:hAnsi="微软雅黑" w:eastAsia="微软雅黑"/>
          <w:color w:val="1c1e21"/>
          <w:sz w:val="24"/>
          <w:szCs w:val="24"/>
        </w:rPr>
        <w:t>, these are relevant to many users of single-spa, so some strategies for doing so are discussed here.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在大型微服务系统中，你的single-spa基础配置和每个应用程序都应该有自己的git仓库。如何在JavaScript项目中实现这一点暂无定论，因此下面列出了一些建议。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由于single-spa是一个有助于组织扩展的框架，因此了解如何将应用程序彼此分离是很重要的，这样开发人员和团队就可以在不相互干扰的情况下开发子应用。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大多数的微服务体系都鼓励独立的代码仓库、构建和部署。虽然</w:t>
      </w:r>
      <w:r>
        <w:rPr>
          <w:rFonts w:ascii="微软雅黑" w:hAnsi="微软雅黑" w:eastAsia="微软雅黑"/>
          <w:b w:val="true"/>
          <w:bCs w:val="true"/>
          <w:color w:val="1c1e21"/>
          <w:sz w:val="24"/>
          <w:szCs w:val="24"/>
        </w:rPr>
        <w:t> single-spa不能解决如何托管、构建或部署 代码的问题</w:t>
      </w:r>
      <w:r>
        <w:rPr>
          <w:rFonts w:ascii="微软雅黑" w:hAnsi="微软雅黑" w:eastAsia="微软雅黑"/>
          <w:color w:val="1c1e21"/>
          <w:sz w:val="24"/>
          <w:szCs w:val="24"/>
        </w:rPr>
        <w:t>，但是这些问题与许多single-spa用户相关，因此这里讨论了一些策略。</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策略1：一个代码仓库，一个build包</w:t>
      </w:r>
    </w:p>
    <w:p>
      <w:pPr>
        <w:snapToGrid w:val="false"/>
        <w:spacing w:before="0" w:after="0" w:line="312" w:lineRule="auto"/>
        <w:ind/>
        <w:jc w:val="left"/>
        <w:rPr>
          <w:rFonts w:ascii="微软雅黑" w:hAnsi="微软雅黑" w:eastAsia="微软雅黑"/>
          <w:color w:val="000000"/>
          <w:sz w:val="24"/>
          <w:szCs w:val="24"/>
        </w:rPr>
      </w:pPr>
      <w:hyperlink r:id="rId9">
        <w:r>
          <w:rPr>
            <w:rFonts w:ascii="微软雅黑" w:hAnsi="微软雅黑" w:eastAsia="微软雅黑"/>
            <w:sz w:val="24"/>
            <w:szCs w:val="24"/>
            <w:u w:val="single"/>
          </w:rPr>
          <w:t>#</w:t>
        </w:r>
      </w:hyperlink>
      <w:r>
        <w:rPr>
          <w:rFonts w:ascii="微软雅黑" w:hAnsi="微软雅黑" w:eastAsia="微软雅黑"/>
          <w:sz w:val="24"/>
          <w:szCs w:val="24"/>
        </w:rPr>
        <w:t>Option 1: One code repo, one build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simplest approach for using single-spa is to have one code repository with everything in it. Typically, you would have a single package.json with a single webpack config that produces a bundle that can be included in an html file with a `</w:t>
      </w:r>
      <w:r>
        <w:rPr>
          <w:rFonts w:ascii="微软雅黑" w:hAnsi="微软雅黑" w:eastAsia="微软雅黑"/>
          <w:color w:val="000000"/>
          <w:sz w:val="24"/>
          <w:szCs w:val="24"/>
        </w:rPr>
        <w:t>&lt;script&gt;</w:t>
      </w:r>
      <w:r>
        <w:rPr>
          <w:rFonts w:ascii="微软雅黑" w:hAnsi="微软雅黑" w:eastAsia="微软雅黑"/>
          <w:color w:val="1c1e21"/>
          <w:sz w:val="24"/>
          <w:szCs w:val="24"/>
        </w:rPr>
        <w:t>` tag.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Advantages:</w:t>
      </w:r>
    </w:p>
    <w:p>
      <w:pPr>
        <w:numPr>
          <w:ilvl w:val="0"/>
          <w:numId w:val="41"/>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Simplest to set up</w:t>
      </w:r>
    </w:p>
    <w:p>
      <w:pPr>
        <w:numPr>
          <w:ilvl w:val="0"/>
          <w:numId w:val="41"/>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0">
        <w:r>
          <w:rPr>
            <w:rFonts w:ascii="微软雅黑" w:hAnsi="微软雅黑" w:eastAsia="微软雅黑"/>
            <w:color w:val="1c1e21"/>
            <w:sz w:val="24"/>
            <w:szCs w:val="24"/>
            <w:u w:val="single"/>
          </w:rPr>
          <w:t>monolithic version control has some advantages</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Disadvantages:</w:t>
      </w:r>
    </w:p>
    <w:p>
      <w:pPr>
        <w:numPr>
          <w:ilvl w:val="0"/>
          <w:numId w:val="42"/>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One master Webpack config and package.json means less flexibility and freedom for each individual project</w:t>
      </w:r>
    </w:p>
    <w:p>
      <w:pPr>
        <w:numPr>
          <w:ilvl w:val="0"/>
          <w:numId w:val="42"/>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Slow build times once your project gets large</w:t>
      </w:r>
    </w:p>
    <w:p>
      <w:pPr>
        <w:numPr>
          <w:ilvl w:val="0"/>
          <w:numId w:val="42"/>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Builds and deployments are all tied together, which can necessitate fixed release schedules instead of ad hoc releases.</w:t>
      </w:r>
    </w:p>
    <w:p>
      <w:pPr>
        <w:snapToGrid w:val="false"/>
        <w:spacing w:before="0" w:after="0" w:line="312" w:lineRule="auto"/>
        <w:ind w:left="0"/>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使用single-spa的最简单方法是拥有一个包含所有代码的仓库。通常，您只有一个package.json,一个的webpack配置，产生一个包，它在一个html文件中通过`</w:t>
      </w:r>
      <w:r>
        <w:rPr>
          <w:rFonts w:ascii="微软雅黑" w:hAnsi="微软雅黑" w:eastAsia="微软雅黑"/>
          <w:color w:val="000000"/>
          <w:sz w:val="24"/>
          <w:szCs w:val="24"/>
        </w:rPr>
        <w:t>&lt;script&gt;</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标签引用。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优势:</w:t>
      </w:r>
    </w:p>
    <w:p>
      <w:pPr>
        <w:numPr>
          <w:ilvl w:val="0"/>
          <w:numId w:val="39"/>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最容易部署</w:t>
      </w:r>
    </w:p>
    <w:p>
      <w:pPr>
        <w:numPr>
          <w:ilvl w:val="0"/>
          <w:numId w:val="39"/>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1">
        <w:r>
          <w:rPr>
            <w:rFonts w:ascii="微软雅黑" w:hAnsi="微软雅黑" w:eastAsia="微软雅黑"/>
            <w:color w:val="1c1e21"/>
            <w:sz w:val="24"/>
            <w:szCs w:val="24"/>
            <w:u w:val="single"/>
          </w:rPr>
          <w:t>单一版本（monorepo）控制的优点</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劣势:</w:t>
      </w:r>
    </w:p>
    <w:p>
      <w:pPr>
        <w:numPr>
          <w:ilvl w:val="0"/>
          <w:numId w:val="40"/>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对于每个单独的项目来说，一个Webpack配置和package.json意味着的灵活性和自由度不足。</w:t>
      </w:r>
    </w:p>
    <w:p>
      <w:pPr>
        <w:numPr>
          <w:ilvl w:val="0"/>
          <w:numId w:val="40"/>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当你的项目越来越大时，打包速度越来越慢。</w:t>
      </w:r>
    </w:p>
    <w:p>
      <w:pPr>
        <w:numPr>
          <w:ilvl w:val="0"/>
          <w:numId w:val="40"/>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构建和部署都是捆绑在一起的，这要求固定的发版计划，而不能临时发布。</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策略2：</w:t>
      </w:r>
      <w:r>
        <w:rPr>
          <w:rFonts w:ascii="微软雅黑" w:hAnsi="微软雅黑" w:eastAsia="微软雅黑"/>
          <w:color w:val="1c1e21"/>
        </w:rPr>
        <w:t>NPM包</w:t>
      </w:r>
    </w:p>
    <w:p>
      <w:pPr>
        <w:snapToGrid w:val="false"/>
        <w:spacing w:before="0" w:after="0" w:line="312" w:lineRule="auto"/>
        <w:ind/>
        <w:jc w:val="left"/>
        <w:rPr>
          <w:rFonts w:ascii="微软雅黑" w:hAnsi="微软雅黑" w:eastAsia="微软雅黑"/>
          <w:color w:val="000000"/>
          <w:sz w:val="24"/>
          <w:szCs w:val="24"/>
        </w:rPr>
      </w:pPr>
      <w:hyperlink r:id="rId12">
        <w:r>
          <w:rPr>
            <w:rFonts w:ascii="微软雅黑" w:hAnsi="微软雅黑" w:eastAsia="微软雅黑"/>
            <w:sz w:val="24"/>
            <w:szCs w:val="24"/>
            <w:u w:val="single"/>
          </w:rPr>
          <w:t>#</w:t>
        </w:r>
      </w:hyperlink>
      <w:r>
        <w:rPr>
          <w:rFonts w:ascii="微软雅黑" w:hAnsi="微软雅黑" w:eastAsia="微软雅黑"/>
          <w:sz w:val="24"/>
          <w:szCs w:val="24"/>
        </w:rPr>
        <w:t>Option 2: NPM packages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Create a root application that npm installs each of the single-spa applications. Each child application is in a separate code repository and is responsible for publishing a new version everytime that it updates. The root application should reinstall, rebuild, and redeploy whenever a single-spa application changes.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Typically, the single-spa applications compile themselves separately with babel and/or webpack.</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Note that you can also use the </w:t>
      </w:r>
      <w:hyperlink r:id="rId13">
        <w:r>
          <w:rPr>
            <w:rFonts w:ascii="微软雅黑" w:hAnsi="微软雅黑" w:eastAsia="微软雅黑"/>
            <w:color w:val="1c1e21"/>
            <w:sz w:val="24"/>
            <w:szCs w:val="24"/>
            <w:u w:val="single"/>
          </w:rPr>
          <w:t>monorepo methodology</w:t>
        </w:r>
      </w:hyperlink>
      <w:r>
        <w:rPr>
          <w:rFonts w:ascii="微软雅黑" w:hAnsi="微软雅黑" w:eastAsia="微软雅黑"/>
          <w:color w:val="1c1e21"/>
          <w:sz w:val="24"/>
          <w:szCs w:val="24"/>
        </w:rPr>
        <w:t> which allows for separate builds without having separate code repositories.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Advantages:</w:t>
      </w:r>
    </w:p>
    <w:p>
      <w:pPr>
        <w:numPr>
          <w:ilvl w:val="0"/>
          <w:numId w:val="4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npm install is familiar and easy to set up</w:t>
      </w:r>
    </w:p>
    <w:p>
      <w:pPr>
        <w:numPr>
          <w:ilvl w:val="0"/>
          <w:numId w:val="4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Separate npm packages means each application can build itself separately before publishing to npm</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Disadvantages:</w:t>
      </w:r>
    </w:p>
    <w:p>
      <w:pPr>
        <w:numPr>
          <w:ilvl w:val="0"/>
          <w:numId w:val="4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The root application must reinstall the child applications in order to rebuild/redeploy</w:t>
      </w:r>
    </w:p>
    <w:p>
      <w:pPr>
        <w:numPr>
          <w:ilvl w:val="0"/>
          <w:numId w:val="4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Medium difficulty to set up</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创建一个父应用，npm安装每个single-spa应用。每个子应用在一个单独的代码仓库中，负责每次更新时发布一个新版本。当single-spa应用发生更改时，根应用程序应该重新安装、重新构建和重新部署。</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通常，single-spa应用分别使用babel或者webpack来编译。</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请注意，您还可以使用</w:t>
      </w:r>
      <w:hyperlink r:id="rId14">
        <w:r>
          <w:rPr>
            <w:rFonts w:ascii="微软雅黑" w:hAnsi="微软雅黑" w:eastAsia="微软雅黑"/>
            <w:color w:val="1c1e21"/>
            <w:sz w:val="24"/>
            <w:szCs w:val="24"/>
            <w:u w:val="single"/>
          </w:rPr>
          <w:t>monorepo方法</w:t>
        </w:r>
      </w:hyperlink>
      <w:r>
        <w:rPr>
          <w:rFonts w:ascii="微软雅黑" w:hAnsi="微软雅黑" w:eastAsia="微软雅黑"/>
          <w:color w:val="1c1e21"/>
          <w:sz w:val="24"/>
          <w:szCs w:val="24"/>
        </w:rPr>
        <w:t>，该方法允许单独构建，而不需要单独的代码仓库。</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优势:</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npm安装对于开发中更熟悉，易于搭建。</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独立的npm包意味着，每个应用在发布到npm仓库之前可以分别打包。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劣势:</w:t>
      </w:r>
    </w:p>
    <w:p>
      <w:pPr>
        <w:numPr>
          <w:ilvl w:val="0"/>
          <w:numId w:val="38"/>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父应用必须重新安装子应用来重新构建或部署。</w:t>
      </w:r>
    </w:p>
    <w:p>
      <w:pPr>
        <w:numPr>
          <w:ilvl w:val="0"/>
          <w:numId w:val="38"/>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中等难度搭建。</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策略3：</w:t>
      </w:r>
      <w:r>
        <w:rPr>
          <w:rFonts w:ascii="微软雅黑" w:hAnsi="微软雅黑" w:eastAsia="微软雅黑"/>
          <w:color w:val="1c1e21"/>
        </w:rPr>
        <w:t>动态加载模块</w:t>
      </w:r>
    </w:p>
    <w:p>
      <w:pPr>
        <w:snapToGrid w:val="false"/>
        <w:spacing w:before="0" w:after="0" w:line="312" w:lineRule="auto"/>
        <w:ind/>
        <w:jc w:val="left"/>
        <w:rPr>
          <w:rFonts w:ascii="微软雅黑" w:hAnsi="微软雅黑" w:eastAsia="微软雅黑"/>
          <w:color w:val="000000"/>
          <w:sz w:val="24"/>
          <w:szCs w:val="24"/>
        </w:rPr>
      </w:pPr>
      <w:hyperlink r:id="rId15">
        <w:r>
          <w:rPr>
            <w:rFonts w:ascii="微软雅黑" w:hAnsi="微软雅黑" w:eastAsia="微软雅黑"/>
            <w:sz w:val="24"/>
            <w:szCs w:val="24"/>
            <w:u w:val="single"/>
          </w:rPr>
          <w:t>#</w:t>
        </w:r>
      </w:hyperlink>
      <w:r>
        <w:rPr>
          <w:rFonts w:ascii="微软雅黑" w:hAnsi="微软雅黑" w:eastAsia="微软雅黑"/>
          <w:sz w:val="24"/>
          <w:szCs w:val="24"/>
        </w:rPr>
        <w:t>Option 3: Dynamic Module Loading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Create a root application which can allow single-spa applications to deploy themselves separately. To do so, create a manifest file that the single-spa applications update during their deployment process, which controls which versions of the single-spa applications are "live". Then change which javascript file is loaded based on the manifest.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Changing which javascript file is loaded for each child application can be done in many ways.</w:t>
      </w:r>
    </w:p>
    <w:p>
      <w:pPr>
        <w:numPr>
          <w:ilvl w:val="0"/>
          <w:numId w:val="45"/>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Web server: have your webserver create a dynamic script tag for the "live" version of each single-spa application.</w:t>
      </w:r>
    </w:p>
    <w:p>
      <w:pPr>
        <w:numPr>
          <w:ilvl w:val="0"/>
          <w:numId w:val="45"/>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Use a </w:t>
      </w:r>
      <w:r>
        <w:rPr>
          <w:rFonts w:hint="eastAsia"/>
        </w:rPr>
      </w:r>
      <w:hyperlink r:id="rId16">
        <w:r>
          <w:rPr>
            <w:rFonts w:ascii="微软雅黑" w:hAnsi="微软雅黑" w:eastAsia="微软雅黑"/>
            <w:color w:val="1c1e21"/>
            <w:sz w:val="24"/>
            <w:szCs w:val="24"/>
            <w:u w:val="single"/>
          </w:rPr>
          <w:t>module loader</w:t>
        </w:r>
      </w:hyperlink>
      <w:r>
        <w:rPr>
          <w:rFonts w:hint="eastAsia"/>
        </w:rPr>
      </w:r>
      <w:r>
        <w:rPr>
          <w:rFonts w:ascii="微软雅黑" w:hAnsi="微软雅黑" w:eastAsia="微软雅黑"/>
          <w:color w:val="1c1e21"/>
          <w:sz w:val="24"/>
          <w:szCs w:val="24"/>
        </w:rPr>
        <w:t> such as </w:t>
      </w:r>
      <w:r>
        <w:rPr>
          <w:rFonts w:hint="eastAsia"/>
        </w:rPr>
      </w:r>
      <w:hyperlink r:id="rId17">
        <w:r>
          <w:rPr>
            <w:rFonts w:ascii="微软雅黑" w:hAnsi="微软雅黑" w:eastAsia="微软雅黑"/>
            <w:color w:val="1c1e21"/>
            <w:sz w:val="24"/>
            <w:szCs w:val="24"/>
            <w:u w:val="single"/>
          </w:rPr>
          <w:t>SystemJS</w:t>
        </w:r>
      </w:hyperlink>
      <w:r>
        <w:rPr>
          <w:rFonts w:hint="eastAsia"/>
        </w:rPr>
      </w:r>
      <w:r>
        <w:rPr>
          <w:rFonts w:ascii="微软雅黑" w:hAnsi="微软雅黑" w:eastAsia="微软雅黑"/>
          <w:color w:val="1c1e21"/>
          <w:sz w:val="24"/>
          <w:szCs w:val="24"/>
        </w:rPr>
        <w:t> that can download and execute javascript code in the browser from dynamic urls.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创建一个父应用，允许子应用单独部署。为了实现这一点，创建一个manifest文件，当子应用部署更新时，它控制子应用的“上线”版本及加载的JavaScript文件。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改变每个子应用加载的JavaScript文件有很多的方法：</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1、Web服务器：在你的web服务器为每个子应用的正确版本创建一个动态脚本。</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2、使用</w:t>
      </w:r>
      <w:hyperlink r:id="rId18">
        <w:r>
          <w:rPr>
            <w:rFonts w:ascii="微软雅黑" w:hAnsi="微软雅黑" w:eastAsia="微软雅黑"/>
            <w:color w:val="1c1e21"/>
            <w:sz w:val="24"/>
            <w:szCs w:val="24"/>
            <w:u w:val="single"/>
          </w:rPr>
          <w:t>模块加载</w:t>
        </w:r>
      </w:hyperlink>
      <w:r>
        <w:rPr>
          <w:rFonts w:ascii="微软雅黑" w:hAnsi="微软雅黑" w:eastAsia="微软雅黑"/>
          <w:color w:val="1c1e21"/>
          <w:sz w:val="24"/>
          <w:szCs w:val="24"/>
        </w:rPr>
        <w:t> 例如 </w:t>
      </w:r>
      <w:hyperlink r:id="rId19">
        <w:r>
          <w:rPr>
            <w:rFonts w:ascii="微软雅黑" w:hAnsi="微软雅黑" w:eastAsia="微软雅黑"/>
            <w:color w:val="1c1e21"/>
            <w:sz w:val="24"/>
            <w:szCs w:val="24"/>
            <w:u w:val="single"/>
          </w:rPr>
          <w:t>SystemJS</w:t>
        </w:r>
      </w:hyperlink>
      <w:r>
        <w:rPr>
          <w:rFonts w:ascii="微软雅黑" w:hAnsi="微软雅黑" w:eastAsia="微软雅黑"/>
          <w:color w:val="1c1e21"/>
          <w:sz w:val="24"/>
          <w:szCs w:val="24"/>
        </w:rPr>
        <w:t> 可以在浏览器通过动态urls下载并执行JavaScript代码。</w:t>
      </w:r>
    </w:p>
    <w:p>
      <w:pPr>
        <w:pStyle w:val="heading5"/>
        <w:snapToGrid w:val="false"/>
        <w:spacing w:lineRule="auto"/>
        <w:ind/>
        <w:rPr>
          <w:rFonts w:ascii="微软雅黑" w:hAnsi="微软雅黑" w:eastAsia="微软雅黑"/>
        </w:rPr>
      </w:pPr>
      <w:r>
        <w:rPr>
          <w:rFonts w:ascii="微软雅黑" w:hAnsi="微软雅黑" w:eastAsia="微软雅黑"/>
        </w:rPr>
        <w:t>策略之间对比表</w:t>
      </w:r>
    </w:p>
    <w:p>
      <w:pPr>
        <w:snapToGrid w:val="false"/>
        <w:spacing w:before="0" w:after="0" w:line="312" w:lineRule="auto"/>
        <w:ind/>
        <w:jc w:val="left"/>
        <w:rPr>
          <w:rFonts w:ascii="微软雅黑" w:hAnsi="微软雅黑" w:eastAsia="微软雅黑"/>
          <w:sz w:val="24"/>
          <w:szCs w:val="24"/>
        </w:rPr>
      </w:pPr>
      <w:hyperlink r:id="rId20">
        <w:r>
          <w:rPr>
            <w:rFonts w:ascii="微软雅黑" w:hAnsi="微软雅黑" w:eastAsia="微软雅黑"/>
            <w:sz w:val="24"/>
            <w:szCs w:val="24"/>
            <w:u w:val="single"/>
          </w:rPr>
          <w:t>#</w:t>
        </w:r>
      </w:hyperlink>
      <w:r>
        <w:rPr>
          <w:rFonts w:ascii="微软雅黑" w:hAnsi="微软雅黑" w:eastAsia="微软雅黑"/>
          <w:sz w:val="24"/>
          <w:szCs w:val="24"/>
        </w:rPr>
        <w:t>Comparison</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r>
    </w:p>
    <w:p>
      <w:pPr>
        <w:snapToGrid w:val="false"/>
        <w:spacing w:before="0" w:after="0" w:line="312" w:lineRule="auto"/>
        <w:ind w:leftChars="600" w:firstLineChars="200"/>
        <w:jc w:val="left"/>
        <w:rPr>
          <w:rFonts w:ascii="微软雅黑" w:hAnsi="微软雅黑" w:eastAsia="微软雅黑"/>
          <w:sz w:val="24"/>
          <w:szCs w:val="24"/>
        </w:rPr>
      </w:pPr>
      <w:r>
        <w:rPr>
          <w:rFonts w:ascii="微软雅黑" w:hAnsi="微软雅黑" w:eastAsia="微软雅黑"/>
          <w:color w:val="1c1e21"/>
          <w:sz w:val="24"/>
          <w:szCs w:val="24"/>
        </w:rPr>
        <w:t>Comparison of front-end system architectures</w:t>
      </w:r>
    </w:p>
    <w:tbl>
      <w:tblPr>
        <w:tblStyle w:val="a7"/>
        <w:tblW w:w="0" w:type="auto"/>
        <w:tblInd w:w="0"/>
        <w:tblLayout w:type="fixed"/>
        <w:tblCellMar>
          <w:top w:w="120"/>
          <w:left w:w="60"/>
          <w:bottom w:w="120"/>
          <w:right w:w="60"/>
        </w:tblCellMar>
        <w:tblLook w:firstRow="1" w:lastRow="0" w:firstColumn="1" w:lastColumn="0" w:noHBand="0" w:noVBand="1" w:val="04A0"/>
      </w:tblPr>
      <w:tblGrid>
        <w:gridCol w:w="2010"/>
        <w:gridCol w:w="2655"/>
        <w:gridCol w:w="2655"/>
        <w:gridCol w:w="1785"/>
      </w:tblGrid>
      <w:tr>
        <w:trPr>
          <w:trHeight w:val="420" w:hRule="atLeast"/>
        </w:trPr>
        <w:tc>
          <w:tcPr>
            <w:tcW w:w="201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Difficulty to set up</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Easy</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Medium</w:t>
            </w:r>
          </w:p>
        </w:tc>
        <w:tc>
          <w:tcPr>
            <w:tcW w:w="17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Hard</w:t>
            </w:r>
          </w:p>
        </w:tc>
      </w:tr>
      <w:tr>
        <w:trPr>
          <w:trHeight w:val="420" w:hRule="atLeast"/>
        </w:trPr>
        <w:tc>
          <w:tcPr>
            <w:tcW w:w="201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Separate code repositories</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No</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No</w:t>
            </w:r>
          </w:p>
        </w:tc>
        <w:tc>
          <w:tcPr>
            <w:tcW w:w="17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w:t>
            </w:r>
          </w:p>
        </w:tc>
      </w:tr>
      <w:tr>
        <w:trPr>
          <w:trHeight w:val="420" w:hRule="atLeast"/>
        </w:trPr>
        <w:tc>
          <w:tcPr>
            <w:tcW w:w="201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Separate builds</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No</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w:t>
            </w:r>
          </w:p>
        </w:tc>
        <w:tc>
          <w:tcPr>
            <w:tcW w:w="17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w:t>
            </w:r>
          </w:p>
        </w:tc>
      </w:tr>
      <w:tr>
        <w:trPr>
          <w:trHeight w:val="420" w:hRule="atLeast"/>
        </w:trPr>
        <w:tc>
          <w:tcPr>
            <w:tcW w:w="201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Separate deployments</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No</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w:t>
            </w:r>
          </w:p>
        </w:tc>
        <w:tc>
          <w:tcPr>
            <w:tcW w:w="17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w:t>
            </w:r>
          </w:p>
        </w:tc>
      </w:tr>
      <w:tr>
        <w:trPr>
          <w:trHeight w:val="420" w:hRule="atLeast"/>
        </w:trPr>
        <w:tc>
          <w:tcPr>
            <w:tcW w:w="201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000000"/>
                <w:spacing w:val="0"/>
                <w:sz w:val="24"/>
                <w:szCs w:val="24"/>
              </w:rPr>
              <w:t>Examples</w:t>
            </w:r>
          </w:p>
        </w:tc>
        <w:tc>
          <w:tcPr>
            <w:tcW w:w="2655" w:type="dxa"/>
            <w:tcBorders>
              <w:top w:val="single" w:color="000" w:sz="8" w:space="0"/>
              <w:left w:val="single" w:color="000" w:sz="8" w:space="0"/>
              <w:bottom w:val="single" w:color="000" w:sz="8" w:space="0"/>
              <w:right w:val="single" w:color="000" w:sz="8" w:space="0"/>
            </w:tcBorders>
            <w:vAlign w:val="center"/>
          </w:tcPr>
          <w:p>
            <w:pPr>
              <w:numPr>
                <w:ilvl w:val="0"/>
                <w:numId w:val="33"/>
              </w:numPr>
              <w:snapToGrid w:val="false"/>
              <w:spacing w:before="0" w:after="0" w:line="312" w:lineRule="auto"/>
              <w:ind w:firstLineChars="0"/>
              <w:jc w:val="left"/>
              <w:rPr>
                <w:rFonts w:ascii="微软雅黑" w:hAnsi="微软雅黑" w:eastAsia="微软雅黑"/>
                <w:color w:val="000000"/>
                <w:sz w:val="21"/>
                <w:szCs w:val="21"/>
              </w:rPr>
            </w:pPr>
            <w:r>
              <w:rPr>
                <w:rFonts w:hint="eastAsia"/>
              </w:rPr>
            </w:r>
            <w:hyperlink r:id="rId21">
              <w:r>
                <w:rPr>
                  <w:rFonts w:ascii="-apple-system, system-ui, sans-serif" w:hAnsi="-apple-system, system-ui, sans-serif" w:eastAsia="-apple-system, system-ui, sans-serif"/>
                  <w:color w:val="1c1e21"/>
                  <w:sz w:val="24"/>
                  <w:szCs w:val="24"/>
                  <w:u w:val="single"/>
                </w:rPr>
                <w:t>simple-webpack-example</w:t>
              </w:r>
            </w:hyperlink>
          </w:p>
          <w:p>
            <w:pPr>
              <w:numPr>
                <w:ilvl w:val="0"/>
                <w:numId w:val="33"/>
              </w:numPr>
              <w:snapToGrid w:val="false"/>
              <w:spacing w:before="0" w:after="0" w:line="312" w:lineRule="auto"/>
              <w:ind w:firstLineChars="0"/>
              <w:jc w:val="left"/>
              <w:rPr>
                <w:rFonts w:ascii="微软雅黑" w:hAnsi="微软雅黑" w:eastAsia="微软雅黑"/>
                <w:color w:val="000000"/>
                <w:sz w:val="21"/>
                <w:szCs w:val="21"/>
              </w:rPr>
            </w:pPr>
            <w:r>
              <w:rPr>
                <w:rFonts w:hint="eastAsia"/>
              </w:rPr>
            </w:r>
            <w:hyperlink r:id="rId22">
              <w:r>
                <w:rPr>
                  <w:rFonts w:ascii="-apple-system, system-ui, sans-serif" w:hAnsi="-apple-system, system-ui, sans-serif" w:eastAsia="-apple-system, system-ui, sans-serif"/>
                  <w:color w:val="1c1e21"/>
                  <w:sz w:val="24"/>
                  <w:szCs w:val="24"/>
                  <w:u w:val="single"/>
                </w:rPr>
                <w:t>single-spa-examples</w:t>
              </w:r>
            </w:hyperlink>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265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hyperlink r:id="rId23">
              <w:r>
                <w:rPr>
                  <w:rFonts w:ascii="-apple-system, system-ui, sans-serif" w:hAnsi="-apple-system, system-ui, sans-serif" w:eastAsia="-apple-system, system-ui, sans-serif"/>
                  <w:color w:val="1e6fff"/>
                  <w:sz w:val="24"/>
                  <w:szCs w:val="24"/>
                  <w:u w:val="single"/>
                </w:rPr>
                <w:t>single-spa-login-example-with-npm-packages</w:t>
              </w:r>
            </w:hyperlink>
          </w:p>
        </w:tc>
        <w:tc>
          <w:tcPr>
            <w:tcW w:w="178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hyperlink r:id="rId24">
              <w:r>
                <w:rPr>
                  <w:rFonts w:ascii="-apple-system, system-ui, sans-serif" w:hAnsi="-apple-system, system-ui, sans-serif" w:eastAsia="-apple-system, system-ui, sans-serif"/>
                  <w:color w:val="1e6fff"/>
                  <w:sz w:val="24"/>
                  <w:szCs w:val="24"/>
                  <w:u w:val="single"/>
                </w:rPr>
                <w:t>SystemJS example</w:t>
              </w:r>
            </w:hyperlink>
          </w:p>
        </w:tc>
      </w:tr>
    </w:tbl>
    <w:p>
      <w:pPr>
        <w:snapToGrid w:val="false"/>
        <w:spacing w:before="0" w:after="0" w:line="312" w:lineRule="auto"/>
        <w:ind w:leftChars="120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前端系统架构对比</w:t>
      </w:r>
    </w:p>
    <w:tbl>
      <w:tblPr>
        <w:tblStyle w:val="a7"/>
        <w:tblW w:w="0" w:type="auto"/>
        <w:tblInd w:w="0"/>
        <w:tblLayout w:type="fixed"/>
        <w:tblCellMar>
          <w:top w:w="120"/>
          <w:left w:w="60"/>
          <w:bottom w:w="120"/>
          <w:right w:w="60"/>
        </w:tblCellMar>
        <w:tblLook w:firstRow="1" w:lastRow="0" w:firstColumn="1" w:lastColumn="0" w:noHBand="0" w:noVBand="1" w:val="04A0"/>
      </w:tblPr>
      <w:tblGrid>
        <w:gridCol w:w="1440"/>
        <w:gridCol w:w="2595"/>
        <w:gridCol w:w="2640"/>
        <w:gridCol w:w="2655"/>
      </w:tblGrid>
      <w:tr>
        <w:trPr>
          <w:trHeight w:val="420" w:hRule="atLeast"/>
        </w:trPr>
        <w:tc>
          <w:tcPr>
            <w:tcW w:w="144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搭建难度</w:t>
            </w:r>
          </w:p>
        </w:tc>
        <w:tc>
          <w:tcPr>
            <w:tcW w:w="259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简单</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中等</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困难</w:t>
            </w:r>
          </w:p>
        </w:tc>
      </w:tr>
      <w:tr>
        <w:trPr>
          <w:trHeight w:val="420" w:hRule="atLeast"/>
        </w:trPr>
        <w:tc>
          <w:tcPr>
            <w:tcW w:w="144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代码是否独立</w:t>
            </w:r>
          </w:p>
        </w:tc>
        <w:tc>
          <w:tcPr>
            <w:tcW w:w="259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No</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No</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w:t>
            </w:r>
          </w:p>
        </w:tc>
      </w:tr>
      <w:tr>
        <w:trPr>
          <w:trHeight w:val="420" w:hRule="atLeast"/>
        </w:trPr>
        <w:tc>
          <w:tcPr>
            <w:tcW w:w="144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分开构建</w:t>
            </w:r>
          </w:p>
        </w:tc>
        <w:tc>
          <w:tcPr>
            <w:tcW w:w="259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No</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w:t>
            </w:r>
          </w:p>
        </w:tc>
      </w:tr>
      <w:tr>
        <w:trPr>
          <w:trHeight w:val="420" w:hRule="atLeast"/>
        </w:trPr>
        <w:tc>
          <w:tcPr>
            <w:tcW w:w="144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分别部署</w:t>
            </w:r>
          </w:p>
        </w:tc>
        <w:tc>
          <w:tcPr>
            <w:tcW w:w="259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No</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w:t>
            </w:r>
          </w:p>
        </w:tc>
        <w:tc>
          <w:tcPr>
            <w:tcW w:w="265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center"/>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w:t>
            </w:r>
          </w:p>
        </w:tc>
      </w:tr>
      <w:tr>
        <w:trPr>
          <w:trHeight w:val="1650" w:hRule="atLeast"/>
        </w:trPr>
        <w:tc>
          <w:tcPr>
            <w:tcW w:w="144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例子</w:t>
            </w:r>
          </w:p>
        </w:tc>
        <w:tc>
          <w:tcPr>
            <w:tcW w:w="2595" w:type="dxa"/>
            <w:tcBorders>
              <w:top w:val="single" w:color="000" w:sz="8" w:space="0"/>
              <w:left w:val="single" w:color="000" w:sz="8" w:space="0"/>
              <w:bottom w:val="single" w:color="000" w:sz="8" w:space="0"/>
              <w:right w:val="single" w:color="000" w:sz="8" w:space="0"/>
            </w:tcBorders>
            <w:shd w:val="clear" w:color="auto" w:fill="auto"/>
            <w:vAlign w:val="top"/>
          </w:tcPr>
          <w:p>
            <w:pPr>
              <w:snapToGrid w:val="false"/>
              <w:spacing w:before="0" w:after="0" w:line="312" w:lineRule="auto"/>
              <w:ind w:left="0"/>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z w:val="24"/>
                <w:szCs w:val="24"/>
              </w:rPr>
              <w:t>1、</w:t>
            </w:r>
            <w:hyperlink r:id="rId25">
              <w:r>
                <w:rPr>
                  <w:rFonts w:ascii="-apple-system, system-ui, sans-serif" w:hAnsi="-apple-system, system-ui, sans-serif" w:eastAsia="-apple-system, system-ui, sans-serif"/>
                  <w:color w:val="1c1e21"/>
                  <w:sz w:val="24"/>
                  <w:szCs w:val="24"/>
                  <w:u w:val="single"/>
                </w:rPr>
                <w:t>simple-webpack-example</w:t>
              </w:r>
            </w:hyperlink>
            <w:r>
              <w:rPr>
                <w:rFonts w:ascii="-apple-system, system-ui, sans-serif" w:hAnsi="-apple-system, system-ui, sans-serif" w:eastAsia="-apple-system, system-ui, sans-serif"/>
                <w:color w:val="1c1e21"/>
                <w:sz w:val="24"/>
                <w:szCs w:val="24"/>
              </w:rPr>
              <w:t xml:space="preserve"> </w:t>
            </w:r>
          </w:p>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z w:val="24"/>
                <w:szCs w:val="24"/>
              </w:rPr>
              <w:t>2、</w:t>
            </w:r>
            <w:hyperlink r:id="rId26">
              <w:r>
                <w:rPr>
                  <w:rFonts w:ascii="-apple-system, system-ui, sans-serif" w:hAnsi="-apple-system, system-ui, sans-serif" w:eastAsia="-apple-system, system-ui, sans-serif"/>
                  <w:color w:val="1c1e21"/>
                  <w:sz w:val="24"/>
                  <w:szCs w:val="24"/>
                  <w:u w:val="single"/>
                </w:rPr>
                <w:t>single-spa-examples</w:t>
              </w:r>
            </w:hyperlink>
          </w:p>
        </w:tc>
        <w:tc>
          <w:tcPr>
            <w:tcW w:w="2640" w:type="dxa"/>
            <w:tcBorders>
              <w:top w:val="single" w:color="000" w:sz="8" w:space="0"/>
              <w:left w:val="single" w:color="000" w:sz="8" w:space="0"/>
              <w:bottom w:val="single" w:color="000" w:sz="8" w:space="0"/>
              <w:right w:val="single" w:color="000" w:sz="8" w:space="0"/>
            </w:tcBorders>
            <w:shd w:val="clear" w:color="auto" w:fill="auto"/>
            <w:vAlign w:val="top"/>
          </w:tcPr>
          <w:p>
            <w:pPr>
              <w:snapToGrid w:val="false"/>
              <w:spacing w:before="0" w:after="0" w:line="312" w:lineRule="auto"/>
              <w:ind w:left="0"/>
              <w:jc w:val="left"/>
              <w:rPr>
                <w:rFonts w:ascii="微软雅黑" w:hAnsi="微软雅黑" w:eastAsia="微软雅黑"/>
                <w:color w:val="000000"/>
                <w:sz w:val="21"/>
                <w:szCs w:val="21"/>
              </w:rPr>
            </w:pPr>
            <w:hyperlink r:id="rId27">
              <w:r>
                <w:rPr>
                  <w:rFonts w:ascii="-apple-system, system-ui, sans-serif" w:hAnsi="-apple-system, system-ui, sans-serif" w:eastAsia="-apple-system, system-ui, sans-serif"/>
                  <w:color w:val="1e6fff"/>
                  <w:sz w:val="24"/>
                  <w:szCs w:val="24"/>
                  <w:u w:val="single"/>
                </w:rPr>
                <w:t>single-spa-login-example-with-npm-packages</w:t>
              </w:r>
            </w:hyperlink>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2655" w:type="dxa"/>
            <w:tcBorders>
              <w:top w:val="single" w:color="000" w:sz="8" w:space="0"/>
              <w:left w:val="single" w:color="000" w:sz="8" w:space="0"/>
              <w:bottom w:val="single" w:color="000" w:sz="8" w:space="0"/>
              <w:right w:val="single" w:color="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hyperlink r:id="rId28">
              <w:r>
                <w:rPr>
                  <w:rFonts w:ascii="-apple-system, system-ui, sans-serif" w:hAnsi="-apple-system, system-ui, sans-serif" w:eastAsia="-apple-system, system-ui, sans-serif"/>
                  <w:color w:val="1e6fff"/>
                  <w:sz w:val="24"/>
                  <w:szCs w:val="24"/>
                  <w:u w:val="single"/>
                </w:rPr>
                <w:t>SystemJS example</w:t>
              </w:r>
            </w:hyperlink>
          </w:p>
        </w:tc>
      </w:tr>
    </w:tbl>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1">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2">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separating-applications#option-1-one-code-repo-one-build" Type="http://schemas.openxmlformats.org/officeDocument/2006/relationships/hyperlink" Id="rId9"/><Relationship TargetMode="External" Target="https://danluu.com/monorepo/" Type="http://schemas.openxmlformats.org/officeDocument/2006/relationships/hyperlink" Id="rId10"/><Relationship TargetMode="External" Target="https://danluu.com/monorepo/" Type="http://schemas.openxmlformats.org/officeDocument/2006/relationships/hyperlink" Id="rId11"/><Relationship TargetMode="External" Target="https://single-spa.js.org/docs/separating-applications#option-2-npm-packages" Type="http://schemas.openxmlformats.org/officeDocument/2006/relationships/hyperlink" Id="rId12"/><Relationship TargetMode="External" Target="https://medium.com/netscape/the-case-for-monorepos-907c1361708a" Type="http://schemas.openxmlformats.org/officeDocument/2006/relationships/hyperlink" Id="rId13"/><Relationship TargetMode="External" Target="https://medium.com/netscape/thecase-for-monorepos-907c1361708a" Type="http://schemas.openxmlformats.org/officeDocument/2006/relationships/hyperlink" Id="rId14"/><Relationship TargetMode="External" Target="https://single-spa.js.org/docs/separating-applications#option-3-dynamic-module-loading" Type="http://schemas.openxmlformats.org/officeDocument/2006/relationships/hyperlink" Id="rId15"/><Relationship TargetMode="External" Target="https://www.jvandemo.com/a-10-minute-primer-to-javascript-modules-module-formats-module-loaders-and-module-bundlers/" Type="http://schemas.openxmlformats.org/officeDocument/2006/relationships/hyperlink" Id="rId16"/><Relationship TargetMode="External" Target="https://github.com/systemjs/systemjs" Type="http://schemas.openxmlformats.org/officeDocument/2006/relationships/hyperlink" Id="rId17"/><Relationship TargetMode="External" Target="https://www.jvandemo.com/a-10-minute-primer-to-javascript-modules-module-formats-module-loaders-and-module-bundlers/" Type="http://schemas.openxmlformats.org/officeDocument/2006/relationships/hyperlink" Id="rId18"/><Relationship TargetMode="External" Target="https://github.com/systemjs/systemjs" Type="http://schemas.openxmlformats.org/officeDocument/2006/relationships/hyperlink" Id="rId19"/><Relationship TargetMode="External" Target="https://single-spa.js.org/docs/separating-applications#comparison" Type="http://schemas.openxmlformats.org/officeDocument/2006/relationships/hyperlink" Id="rId20"/><Relationship TargetMode="External" Target="https://github.com/joeldenning/simple-single-spa-webpack-example" Type="http://schemas.openxmlformats.org/officeDocument/2006/relationships/hyperlink" Id="rId21"/><Relationship TargetMode="External" Target="https://github.com/single-spa/single-spa-examples" Type="http://schemas.openxmlformats.org/officeDocument/2006/relationships/hyperlink" Id="rId22"/><Relationship TargetMode="External" Target="https://github.com/jualoppaz/single-spa-login-example-with-npm-packages" Type="http://schemas.openxmlformats.org/officeDocument/2006/relationships/hyperlink" Id="rId23"/><Relationship TargetMode="External" Target="https://gitlab.com/TheMcMurder/single-spa-portal-example" Type="http://schemas.openxmlformats.org/officeDocument/2006/relationships/hyperlink" Id="rId24"/><Relationship TargetMode="External" Target="https://github.com/joeldenning/simple-single-spa-webpack-example" Type="http://schemas.openxmlformats.org/officeDocument/2006/relationships/hyperlink" Id="rId25"/><Relationship TargetMode="External" Target="https://github.com/single-spa/single-spa-examples" Type="http://schemas.openxmlformats.org/officeDocument/2006/relationships/hyperlink" Id="rId26"/><Relationship TargetMode="External" Target="https://github.com/jualoppaz/single-spa-login-example-with-npm-packages" Type="http://schemas.openxmlformats.org/officeDocument/2006/relationships/hyperlink" Id="rId27"/><Relationship TargetMode="External" Target="https://gitlab.com/TheMcMurder/single-spa-portal-example" Type="http://schemas.openxmlformats.org/officeDocument/2006/relationships/hyperlink" Id="rId2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