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电梯数字孪生系统 需求规划文档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类型：需求规划（应然）· 版本 v1.0（2026-07-17）</w:t>
      </w:r>
    </w:p>
    <w:p>
      <w:pPr>
        <w:shd w:fill="F2F4F7" w:color="auto" w:val="clear"/>
        <w:ind w:left="360"/>
      </w:pPr>
      <w:r>
        <w:rPr>
          <w:color w:val="444444"/>
        </w:rPr>
        <w:t xml:space="preserve">对应产品基线：《需求规格说明书 v1.1》（commit 4b71b70）</w:t>
      </w:r>
    </w:p>
    <w:p>
      <w:pPr>
        <w:shd w:fill="F2F4F7" w:color="auto" w:val="clear"/>
        <w:ind w:left="360"/>
      </w:pPr>
      <w:r>
        <w:rPr>
          <w:color w:val="444444"/>
        </w:rPr>
        <w:t xml:space="preserve">配套：《Gap 分析与演进规划 v1.0》</w:t>
      </w:r>
    </w:p>
    <w:p>
      <w:pPr>
        <w:shd w:fill="F2F4F7" w:color="auto" w:val="clear"/>
        <w:ind w:left="360"/>
      </w:pPr>
      <w:r>
        <w:rPr>
          <w:color w:val="444444"/>
        </w:rPr>
        <w:t xml:space="preserve">一句话：由任务、品类行规与失效模式</w:t>
      </w:r>
      <w:r>
        <w:rPr>
          <w:b/>
          <w:bCs/>
          <w:color w:val="444444"/>
        </w:rPr>
        <w:t xml:space="preserve">正推</w:t>
      </w:r>
      <w:r>
        <w:rPr>
          <w:color w:val="444444"/>
        </w:rPr>
        <w:t xml:space="preserve">本产品应当具备的能力，而非从现有功能出发做加法。</w:t>
      </w:r>
    </w:p>
    <w:p/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/>
    <w:p>
      <w:pPr>
        <w:pStyle w:val="Heading2"/>
      </w:pPr>
      <w:r>
        <w:t xml:space="preserve">0. 本文定位</w:t>
      </w:r>
    </w:p>
    <w:p/>
    <w:p>
      <w:pPr>
        <w:pStyle w:val="Heading3"/>
      </w:pPr>
      <w:r>
        <w:t xml:space="preserve">0.1 与规格说明书的分工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1"/>
        <w:gridCol w:w="3342"/>
        <w:gridCol w:w="5127"/>
      </w:tblGrid>
      <w:tr>
        <w:trPr>
          <w:tblHeader/>
        </w:trPr>
        <w:tc>
          <w:tcPr>
            <w:tcW w:type="dxa" w:w="8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3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需求规格说明书</w:t>
            </w:r>
          </w:p>
        </w:tc>
        <w:tc>
          <w:tcPr>
            <w:tcW w:type="dxa" w:w="51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本文档</w:t>
            </w:r>
          </w:p>
        </w:tc>
      </w:tr>
      <w:tr>
        <w:trPr>
          <w:tblHeader w:val="false"/>
        </w:trPr>
        <w:tc>
          <w:tcPr>
            <w:tcW w:type="dxa" w:w="8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回答</w:t>
            </w:r>
          </w:p>
        </w:tc>
        <w:tc>
          <w:tcPr>
            <w:tcW w:type="dxa" w:w="3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现在是什么（as-built）</w:t>
            </w:r>
          </w:p>
        </w:tc>
        <w:tc>
          <w:tcPr>
            <w:tcW w:type="dxa" w:w="51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应该是什么、缺什么</w:t>
            </w:r>
          </w:p>
        </w:tc>
      </w:tr>
      <w:tr>
        <w:trPr>
          <w:tblHeader w:val="false"/>
        </w:trPr>
        <w:tc>
          <w:tcPr>
            <w:tcW w:type="dxa" w:w="8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推导方向</w:t>
            </w:r>
          </w:p>
        </w:tc>
        <w:tc>
          <w:tcPr>
            <w:tcW w:type="dxa" w:w="3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由实现反推</w:t>
            </w:r>
          </w:p>
        </w:tc>
        <w:tc>
          <w:tcPr>
            <w:tcW w:type="dxa" w:w="51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由任务/品类/失效正推</w:t>
            </w:r>
          </w:p>
        </w:tc>
      </w:tr>
      <w:tr>
        <w:trPr>
          <w:tblHeader w:val="false"/>
        </w:trPr>
        <w:tc>
          <w:tcPr>
            <w:tcW w:type="dxa" w:w="8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编号</w:t>
            </w:r>
          </w:p>
        </w:tc>
        <w:tc>
          <w:tcPr>
            <w:tcW w:type="dxa" w:w="3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 / NFR</w:t>
            </w:r>
          </w:p>
        </w:tc>
        <w:tc>
          <w:tcPr>
            <w:tcW w:type="dxa" w:w="51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PR（Planned Requirement）</w:t>
            </w:r>
          </w:p>
        </w:tc>
      </w:tr>
      <w:tr>
        <w:trPr>
          <w:tblHeader w:val="false"/>
        </w:trPr>
        <w:tc>
          <w:tcPr>
            <w:tcW w:type="dxa" w:w="8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时态</w:t>
            </w:r>
          </w:p>
        </w:tc>
        <w:tc>
          <w:tcPr>
            <w:tcW w:type="dxa" w:w="3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现在时</w:t>
            </w:r>
          </w:p>
        </w:tc>
        <w:tc>
          <w:tcPr>
            <w:tcW w:type="dxa" w:w="51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将来时</w:t>
            </w:r>
          </w:p>
        </w:tc>
      </w:tr>
    </w:tbl>
    <w:p/>
    <w:p/>
    <w:p>
      <w:r>
        <w:t xml:space="preserve">已实现能力本文不再复述，仅引用 FR 编号。</w:t>
      </w:r>
    </w:p>
    <w:p/>
    <w:p>
      <w:pPr>
        <w:pStyle w:val="Heading3"/>
      </w:pPr>
      <w:r>
        <w:t xml:space="preserve">0.2 核心方法论断言</w:t>
      </w:r>
    </w:p>
    <w:p/>
    <w:p>
      <w:r>
        <w:rPr>
          <w:b/>
          <w:bCs/>
        </w:rPr>
        <w:t xml:space="preserve">先写失效清单与验收标准，再写功能描述。</w:t>
      </w:r>
      <w:r>
        <w:t xml:space="preserve">"能对比算法"是功能，没有信息量；"同一种子跑三遍、事件序列逐条一致，且 8× 倍速下 KPI 与 1× 完全相同"才是需求。本文验收一律用破坏性写法：描述如何制造失效，断言正确行为。</w:t>
      </w:r>
    </w:p>
    <w:p/>
    <w:p>
      <w:pPr>
        <w:pStyle w:val="Heading2"/>
      </w:pPr>
      <w:r>
        <w:t xml:space="preserve">1. 需求发现方法论：七维度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172"/>
        <w:gridCol w:w="2167"/>
        <w:gridCol w:w="5273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1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核心问法</w:t>
            </w:r>
          </w:p>
        </w:tc>
        <w:tc>
          <w:tcPr>
            <w:tcW w:type="dxa" w:w="5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本项目发现（摘要）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W w:type="dxa" w:w="11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任务导向 JTBD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用户"雇"它完成什么任务？</w:t>
            </w:r>
          </w:p>
        </w:tc>
        <w:tc>
          <w:tcPr>
            <w:tcW w:type="dxa" w:w="5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研究者任务的三个前提（可复现/行业口径/时基无关）全部缺失 → 优先级纠偏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11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品类规范对标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电梯交通仿真这个品类的行规是什么？</w:t>
            </w:r>
          </w:p>
        </w:tc>
        <w:tc>
          <w:tcPr>
            <w:tcW w:type="dxa" w:w="5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批次报告、空间轨迹图、标准模板、外挂调度器接口是行业标配（Elevate）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  <w:tc>
          <w:tcPr>
            <w:tcW w:type="dxa" w:w="11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失效可观测性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哪些失效用户当下察觉不到？</w:t>
            </w:r>
          </w:p>
        </w:tc>
        <w:tc>
          <w:tcPr>
            <w:tcW w:type="dxa" w:w="5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处静默失效（乘客静默丢弃、KPI 时基失真等）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  <w:tc>
          <w:tcPr>
            <w:tcW w:type="dxa" w:w="11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最老设备/真实环境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最差环境预算够吗？</w:t>
            </w:r>
          </w:p>
        </w:tc>
        <w:tc>
          <w:tcPr>
            <w:tcW w:type="dxa" w:w="5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移动端零适配；CDN 单点；后台标签冻结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</w:t>
            </w:r>
          </w:p>
        </w:tc>
        <w:tc>
          <w:tcPr>
            <w:tcW w:type="dxa" w:w="11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全生命周期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装→用→更→退每环顺吗？</w:t>
            </w:r>
          </w:p>
        </w:tc>
        <w:tc>
          <w:tcPr>
            <w:tcW w:type="dxa" w:w="5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更新无缓存破除；退役残留（旧原型目录、死字典键）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</w:t>
            </w:r>
          </w:p>
        </w:tc>
        <w:tc>
          <w:tcPr>
            <w:tcW w:type="dxa" w:w="11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威胁与滥用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谁会怎么打它？</w:t>
            </w:r>
          </w:p>
        </w:tc>
        <w:tc>
          <w:tcPr>
            <w:tcW w:type="dxa" w:w="5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演示品定位下风险面小，但 ext 注入无 id 边界、全局 API 无护栏需显式决策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D7</w:t>
            </w:r>
          </w:p>
        </w:tc>
        <w:tc>
          <w:tcPr>
            <w:tcW w:type="dxa" w:w="11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可测性即需求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每条需求怎么自动验证？</w:t>
            </w:r>
          </w:p>
        </w:tc>
        <w:tc>
          <w:tcPr>
            <w:tcW w:type="dxa" w:w="5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零测试设施；确定性内核是一切自动验证的前提</w:t>
            </w:r>
          </w:p>
        </w:tc>
      </w:tr>
    </w:tbl>
    <w:p/>
    <w:p/>
    <w:p>
      <w:pPr>
        <w:pStyle w:val="Heading2"/>
      </w:pPr>
      <w:r>
        <w:t xml:space="preserve">2. 用户与任务分析（D1）</w:t>
      </w:r>
    </w:p>
    <w:p/>
    <w:p>
      <w:pPr>
        <w:pStyle w:val="Heading3"/>
      </w:pPr>
      <w:r>
        <w:t xml:space="preserve">2.1 角色画像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0"/>
        <w:gridCol w:w="7390"/>
      </w:tblGrid>
      <w:tr>
        <w:trPr>
          <w:tblHeader/>
        </w:trPr>
        <w:tc>
          <w:tcPr>
            <w:tcW w:type="dxa" w:w="19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7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一句话任务（JTBD）</w:t>
            </w:r>
          </w:p>
        </w:tc>
      </w:tr>
      <w:tr>
        <w:trPr>
          <w:tblHeader w:val="false"/>
        </w:trPr>
        <w:tc>
          <w:tcPr>
            <w:tcW w:type="dxa" w:w="19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算法研究者/学生</w:t>
            </w:r>
          </w:p>
        </w:tc>
        <w:tc>
          <w:tcPr>
            <w:tcW w:type="dxa" w:w="7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"我要在受控条件下比较调度策略，并拿出别人能复验的数字。"</w:t>
            </w:r>
          </w:p>
        </w:tc>
      </w:tr>
      <w:tr>
        <w:trPr>
          <w:tblHeader w:val="false"/>
        </w:trPr>
        <w:tc>
          <w:tcPr>
            <w:tcW w:type="dxa" w:w="19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展厅演示者</w:t>
            </w:r>
          </w:p>
        </w:tc>
        <w:tc>
          <w:tcPr>
            <w:tcW w:type="dxa" w:w="7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"我要在 3 分钟内让外行看懂电梯群控在发生什么、好在哪。"</w:t>
            </w:r>
          </w:p>
        </w:tc>
      </w:tr>
      <w:tr>
        <w:trPr>
          <w:tblHeader w:val="false"/>
        </w:trPr>
        <w:tc>
          <w:tcPr>
            <w:tcW w:type="dxa" w:w="19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集成开发者</w:t>
            </w:r>
          </w:p>
        </w:tc>
        <w:tc>
          <w:tcPr>
            <w:tcW w:type="dxa" w:w="7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"我要把真实电梯的状态流接进这个孪生视图，并能回放历史。"</w:t>
            </w:r>
          </w:p>
        </w:tc>
      </w:tr>
      <w:tr>
        <w:trPr>
          <w:tblHeader w:val="false"/>
        </w:trPr>
        <w:tc>
          <w:tcPr>
            <w:tcW w:type="dxa" w:w="19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学习者</w:t>
            </w:r>
          </w:p>
        </w:tc>
        <w:tc>
          <w:tcPr>
            <w:tcW w:type="dxa" w:w="7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"我改一段调度逻辑，立刻看到 KPI 变化。"</w:t>
            </w:r>
          </w:p>
        </w:tc>
      </w:tr>
    </w:tbl>
    <w:p/>
    <w:p/>
    <w:p>
      <w:pPr>
        <w:pStyle w:val="Heading3"/>
      </w:pPr>
      <w:r>
        <w:t xml:space="preserve">2.2 任务成功条件拆解（核心表）</w:t>
      </w:r>
    </w:p>
    <w:p/>
    <w:p>
      <w:r>
        <w:t xml:space="preserve">任务一：可信的算法对比（研究者）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7"/>
        <w:gridCol w:w="4611"/>
        <w:gridCol w:w="3632"/>
      </w:tblGrid>
      <w:tr>
        <w:trPr>
          <w:tblHeader/>
        </w:trPr>
        <w:tc>
          <w:tcPr>
            <w:tcW w:type="dxa" w:w="11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成功条件</w:t>
            </w:r>
          </w:p>
        </w:tc>
        <w:tc>
          <w:tcPr>
            <w:tcW w:type="dxa" w:w="4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反推需求</w:t>
            </w:r>
          </w:p>
        </w:tc>
        <w:tc>
          <w:tcPr>
            <w:tcW w:type="dxa" w:w="3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</w:t>
            </w:r>
          </w:p>
        </w:tc>
      </w:tr>
      <w:tr>
        <w:trPr>
          <w:tblHeader w:val="false"/>
        </w:trPr>
        <w:tc>
          <w:tcPr>
            <w:tcW w:type="dxa" w:w="11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同条件可复现</w:t>
            </w:r>
          </w:p>
        </w:tc>
        <w:tc>
          <w:tcPr>
            <w:tcW w:type="dxa" w:w="4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种子化 RNG、确定性事件序</w:t>
            </w:r>
          </w:p>
        </w:tc>
        <w:tc>
          <w:tcPr>
            <w:tcW w:type="dxa" w:w="3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8 处 Math.random 不可种子化</w:t>
            </w:r>
          </w:p>
        </w:tc>
      </w:tr>
      <w:tr>
        <w:trPr>
          <w:tblHeader w:val="false"/>
        </w:trPr>
        <w:tc>
          <w:tcPr>
            <w:tcW w:type="dxa" w:w="11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指标口径行业认可</w:t>
            </w:r>
          </w:p>
        </w:tc>
        <w:tc>
          <w:tcPr>
            <w:tcW w:type="dxa" w:w="4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RTT/INT/HC5%/AWT/ATT 按 CIBSE 口径计算</w:t>
            </w:r>
          </w:p>
        </w:tc>
        <w:tc>
          <w:tcPr>
            <w:tcW w:type="dxa" w:w="3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grep 无 RTT/HC5%/interval</w:t>
            </w:r>
          </w:p>
        </w:tc>
      </w:tr>
      <w:tr>
        <w:trPr>
          <w:tblHeader w:val="false"/>
        </w:trPr>
        <w:tc>
          <w:tcPr>
            <w:tcW w:type="dxa" w:w="11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指标与倍速无关</w:t>
            </w:r>
          </w:p>
        </w:tc>
        <w:tc>
          <w:tcPr>
            <w:tcW w:type="dxa" w:w="4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独立仿真时钟计 KPI</w:t>
            </w:r>
          </w:p>
        </w:tc>
        <w:tc>
          <w:tcPr>
            <w:tcW w:type="dxa" w:w="3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按墙钟（KI-1）</w:t>
            </w:r>
          </w:p>
        </w:tc>
      </w:tr>
      <w:tr>
        <w:trPr>
          <w:tblHeader w:val="false"/>
        </w:trPr>
        <w:tc>
          <w:tcPr>
            <w:tcW w:type="dxa" w:w="11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结果可带走</w:t>
            </w:r>
          </w:p>
        </w:tc>
        <w:tc>
          <w:tcPr>
            <w:tcW w:type="dxa" w:w="4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逐乘客批次报告 CSV 导出</w:t>
            </w:r>
          </w:p>
        </w:tc>
        <w:tc>
          <w:tcPr>
            <w:tcW w:type="dxa" w:w="3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仅 JSONL 事件流</w:t>
            </w:r>
          </w:p>
        </w:tc>
      </w:tr>
      <w:tr>
        <w:trPr>
          <w:tblHeader w:val="false"/>
        </w:trPr>
        <w:tc>
          <w:tcPr>
            <w:tcW w:type="dxa" w:w="11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快速扫参</w:t>
            </w:r>
          </w:p>
        </w:tc>
        <w:tc>
          <w:tcPr>
            <w:tcW w:type="dxa" w:w="4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无头快进（不渲染跑完 2h 客流）</w:t>
            </w:r>
          </w:p>
        </w:tc>
        <w:tc>
          <w:tcPr>
            <w:tcW w:type="dxa" w:w="3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物理绑死 rAF</w:t>
            </w:r>
          </w:p>
        </w:tc>
      </w:tr>
    </w:tbl>
    <w:p/>
    <w:p/>
    <w:p>
      <w:r>
        <w:t xml:space="preserve">任务二：外行看懂（演示者）——缺 3D 标注（楼层号/梯号）、首次引导、派梯理由解释。任务三：孪生接入（集成者）——缺读取/订阅 API、回放、陈旧指示。任务四：改了就见（学习者）——缺可插拔调度器接口。</w:t>
      </w:r>
    </w:p>
    <w:p/>
    <w:p>
      <w:r>
        <w:rPr>
          <w:b/>
          <w:bCs/>
        </w:rPr>
        <w:t xml:space="preserve">优先级纠偏结论</w:t>
      </w:r>
      <w:r>
        <w:t xml:space="preserve">：任务一的五个成功条件全部缺前提，按 JTBD 规则整组判 P0——先于一切视觉增强。</w:t>
      </w:r>
    </w:p>
    <w:p/>
    <w:p>
      <w:pPr>
        <w:pStyle w:val="Heading2"/>
      </w:pPr>
      <w:r>
        <w:t xml:space="preserve">3. 品类规范对标（D2）</w:t>
      </w:r>
    </w:p>
    <w:p/>
    <w:p>
      <w:pPr>
        <w:pStyle w:val="Heading3"/>
      </w:pPr>
      <w:r>
        <w:t xml:space="preserve">3.1 品类一：电梯交通仿真软件（对标 Elevate v9 / AdSimulo / KONE BTS / LiftSim）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1690"/>
        <w:gridCol w:w="2535"/>
        <w:gridCol w:w="1625"/>
      </w:tblGrid>
      <w:tr>
        <w:trPr>
          <w:tblHeader/>
        </w:trPr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行规能力</w:t>
            </w:r>
          </w:p>
        </w:tc>
        <w:tc>
          <w:tcPr>
            <w:tcW w:type="dxa" w:w="16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行业默认</w:t>
            </w:r>
          </w:p>
        </w:tc>
        <w:tc>
          <w:tcPr>
            <w:tcW w:type="dxa" w:w="25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本产品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决策</w:t>
            </w:r>
          </w:p>
        </w:tc>
      </w:tr>
      <w:tr>
        <w:trPr>
          <w:tblHeader w:val="false"/>
        </w:trPr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标准客流模板挂钩规范（CIBSE Guide D / ISO 8100-32，按每 5 分钟人口百分比定义）</w:t>
            </w:r>
          </w:p>
        </w:tc>
        <w:tc>
          <w:tcPr>
            <w:tcW w:type="dxa" w:w="16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标配</w:t>
            </w:r>
          </w:p>
        </w:tc>
        <w:tc>
          <w:tcPr>
            <w:tcW w:type="dxa" w:w="25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有 5 种自定义模式，未按规范口径参数化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做（PR-P0-5）</w:t>
            </w:r>
          </w:p>
        </w:tc>
      </w:tr>
      <w:tr>
        <w:trPr>
          <w:tblHeader w:val="false"/>
        </w:trPr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逐乘客批次报告（到达/等待/乘行/全程 + 均值/P95/最差）与一键导出</w:t>
            </w:r>
          </w:p>
        </w:tc>
        <w:tc>
          <w:tcPr>
            <w:tcW w:type="dxa" w:w="16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标配</w:t>
            </w:r>
          </w:p>
        </w:tc>
        <w:tc>
          <w:tcPr>
            <w:tcW w:type="dxa" w:w="25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做（PR-P0-6）</w:t>
            </w:r>
          </w:p>
        </w:tc>
      </w:tr>
      <w:tr>
        <w:trPr>
          <w:tblHeader w:val="false"/>
        </w:trPr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空间轨迹图（各梯 楼层×时间 曲线）——工程师认品类的招牌图</w:t>
            </w:r>
          </w:p>
        </w:tc>
        <w:tc>
          <w:tcPr>
            <w:tcW w:type="dxa" w:w="16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标配</w:t>
            </w:r>
          </w:p>
        </w:tc>
        <w:tc>
          <w:tcPr>
            <w:tcW w:type="dxa" w:w="25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做（PR-P1-4）</w:t>
            </w:r>
          </w:p>
        </w:tc>
      </w:tr>
      <w:tr>
        <w:trPr>
          <w:tblHeader w:val="false"/>
        </w:trPr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上行高峰 RTT 法计算书（HC5%/INT）</w:t>
            </w:r>
          </w:p>
        </w:tc>
        <w:tc>
          <w:tcPr>
            <w:tcW w:type="dxa" w:w="16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标配</w:t>
            </w:r>
          </w:p>
        </w:tc>
        <w:tc>
          <w:tcPr>
            <w:tcW w:type="dxa" w:w="25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做（PR-P0-3）</w:t>
            </w:r>
          </w:p>
        </w:tc>
      </w:tr>
      <w:tr>
        <w:trPr>
          <w:tblHeader w:val="false"/>
        </w:trPr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外挂调度器接口（用户注入自己的群控算法 A/B）</w:t>
            </w:r>
          </w:p>
        </w:tc>
        <w:tc>
          <w:tcPr>
            <w:tcW w:type="dxa" w:w="16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常见（Elevate v9.0.29）</w:t>
            </w:r>
          </w:p>
        </w:tc>
        <w:tc>
          <w:tcPr>
            <w:tcW w:type="dxa" w:w="25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window.ElevatorAgent 只暴露优化器，派梯逻辑不可替换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做（PR-P2-1）</w:t>
            </w:r>
          </w:p>
        </w:tc>
      </w:tr>
      <w:tr>
        <w:trPr>
          <w:tblHeader w:val="false"/>
        </w:trPr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确定性固定步长内核 + 无头批跑</w:t>
            </w:r>
          </w:p>
        </w:tc>
        <w:tc>
          <w:tcPr>
            <w:tcW w:type="dxa" w:w="16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RL 环境标配（LiftSim 0.5s tick）</w:t>
            </w:r>
          </w:p>
        </w:tc>
        <w:tc>
          <w:tcPr>
            <w:tcW w:type="dxa" w:w="25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做（PR-P0-1/2）</w:t>
            </w:r>
          </w:p>
        </w:tc>
      </w:tr>
      <w:tr>
        <w:trPr>
          <w:tblHeader w:val="false"/>
        </w:trPr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乘客放弃（等待超阈值离开）与能耗计</w:t>
            </w:r>
          </w:p>
        </w:tc>
        <w:tc>
          <w:tcPr>
            <w:tcW w:type="dxa" w:w="16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5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有能耗指数；无放弃模型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做（PR-P2-4）</w:t>
            </w:r>
          </w:p>
        </w:tc>
      </w:tr>
      <w:tr>
        <w:trPr>
          <w:tblHeader w:val="false"/>
        </w:trPr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双层轿厢 / 多入口层 / BIM-IFC 导出</w:t>
            </w:r>
          </w:p>
        </w:tc>
        <w:tc>
          <w:tcPr>
            <w:tcW w:type="dxa" w:w="16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高端</w:t>
            </w:r>
          </w:p>
        </w:tc>
        <w:tc>
          <w:tcPr>
            <w:tcW w:type="dxa" w:w="25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不做</w:t>
            </w:r>
            <w:r>
              <w:t xml:space="preserve">：演示定位下投入产出不成立，显式排除（§12）</w:t>
            </w:r>
          </w:p>
        </w:tc>
      </w:tr>
    </w:tbl>
    <w:p/>
    <w:p/>
    <w:p>
      <w:pPr>
        <w:pStyle w:val="Heading3"/>
      </w:pPr>
      <w:r>
        <w:t xml:space="preserve">3.2 品类二：目标层调度系统 DCS（对标 KONE Polaris / Schindler PORT / Otis Compass 360 / 三菱 ΣAI-2200C）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9"/>
        <w:gridCol w:w="1542"/>
        <w:gridCol w:w="1645"/>
        <w:gridCol w:w="1954"/>
      </w:tblGrid>
      <w:tr>
        <w:trPr>
          <w:tblHeader/>
        </w:trPr>
        <w:tc>
          <w:tcPr>
            <w:tcW w:type="dxa" w:w="42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行规能力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行业默认</w:t>
            </w:r>
          </w:p>
        </w:tc>
        <w:tc>
          <w:tcPr>
            <w:tcW w:type="dxa" w:w="16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本产品</w:t>
            </w:r>
          </w:p>
        </w:tc>
        <w:tc>
          <w:tcPr>
            <w:tcW w:type="dxa" w:w="19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决策</w:t>
            </w:r>
          </w:p>
        </w:tc>
      </w:tr>
      <w:tr>
        <w:trPr>
          <w:tblHeader w:val="false"/>
        </w:trPr>
        <w:tc>
          <w:tcPr>
            <w:tcW w:type="dxa" w:w="42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厅外目的层登记 + 指派轿厢回显（assign-then-board 闭环）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DCS 定义性交互</w:t>
            </w:r>
          </w:p>
        </w:tc>
        <w:tc>
          <w:tcPr>
            <w:tcW w:type="dxa" w:w="16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现 DCS 档仅"队列最短"</w:t>
            </w:r>
          </w:p>
        </w:tc>
        <w:tc>
          <w:tcPr>
            <w:tcW w:type="dxa" w:w="19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做（PR-P1-2）</w:t>
            </w:r>
          </w:p>
        </w:tc>
      </w:tr>
      <w:tr>
        <w:trPr>
          <w:tblHeader w:val="false"/>
        </w:trPr>
        <w:tc>
          <w:tcPr>
            <w:tcW w:type="dxa" w:w="42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多目标代价函数 J=w1·等待+w2·乘行+w3·拥挤+w4·能耗，权重随时段切换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ΣAI-2200C 文档化行为</w:t>
            </w:r>
          </w:p>
        </w:tc>
        <w:tc>
          <w:tcPr>
            <w:tcW w:type="dxa" w:w="16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19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做（PR-P2-2）</w:t>
            </w:r>
          </w:p>
        </w:tc>
      </w:tr>
      <w:tr>
        <w:trPr>
          <w:tblHeader w:val="false"/>
        </w:trPr>
        <w:tc>
          <w:tcPr>
            <w:tcW w:type="dxa" w:w="42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呼梯类型（普通/VIP/无障碍延长驻留+减容）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各家差异化卖点</w:t>
            </w:r>
          </w:p>
        </w:tc>
        <w:tc>
          <w:tcPr>
            <w:tcW w:type="dxa" w:w="16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19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做（PR-P2-3）</w:t>
            </w:r>
          </w:p>
        </w:tc>
      </w:tr>
      <w:tr>
        <w:trPr>
          <w:tblHeader w:val="false"/>
        </w:trPr>
        <w:tc>
          <w:tcPr>
            <w:tcW w:type="dxa" w:w="42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派梯理由透明（Otis 把"步行距离/连续停站"写进营销）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16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19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做（PR-P1-5）</w:t>
            </w:r>
          </w:p>
        </w:tc>
      </w:tr>
      <w:tr>
        <w:trPr>
          <w:tblHeader w:val="false"/>
        </w:trPr>
        <w:tc>
          <w:tcPr>
            <w:tcW w:type="dxa" w:w="42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eco 待机（低谷停梯/预泊学习层 + 能耗展示）</w:t>
            </w:r>
          </w:p>
        </w:tc>
        <w:tc>
          <w:tcPr>
            <w:tcW w:type="dxa" w:w="1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16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有预泊；无 eco 档</w:t>
            </w:r>
          </w:p>
        </w:tc>
        <w:tc>
          <w:tcPr>
            <w:tcW w:type="dxa" w:w="19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部分做（并入 PR-P2-2 权重档）</w:t>
            </w:r>
          </w:p>
        </w:tc>
      </w:tr>
    </w:tbl>
    <w:p/>
    <w:p/>
    <w:p>
      <w:pPr>
        <w:pStyle w:val="Heading3"/>
      </w:pPr>
      <w:r>
        <w:t xml:space="preserve">3.3 品类三：孪生前端（对标 KONE Site Monitoring API / Azure Digital Twins）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3"/>
        <w:gridCol w:w="1796"/>
        <w:gridCol w:w="1796"/>
        <w:gridCol w:w="945"/>
      </w:tblGrid>
      <w:tr>
        <w:trPr>
          <w:tblHeader/>
        </w:trPr>
        <w:tc>
          <w:tcPr>
            <w:tcW w:type="dxa" w:w="48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行规能力</w:t>
            </w:r>
          </w:p>
        </w:tc>
        <w:tc>
          <w:tcPr>
            <w:tcW w:type="dxa" w:w="1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行业默认</w:t>
            </w:r>
          </w:p>
        </w:tc>
        <w:tc>
          <w:tcPr>
            <w:tcW w:type="dxa" w:w="1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本产品</w:t>
            </w:r>
          </w:p>
        </w:tc>
        <w:tc>
          <w:tcPr>
            <w:tcW w:type="dxa" w:w="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决策</w:t>
            </w:r>
          </w:p>
        </w:tc>
      </w:tr>
      <w:tr>
        <w:trPr>
          <w:tblHeader w:val="false"/>
        </w:trPr>
        <w:tc>
          <w:tcPr>
            <w:tcW w:type="dxa" w:w="48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状态/遥测分离的 wire schema（property patch vs telemetry 流）</w:t>
            </w:r>
          </w:p>
        </w:tc>
        <w:tc>
          <w:tcPr>
            <w:tcW w:type="dxa" w:w="1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ADT/DTDL 词汇</w:t>
            </w:r>
          </w:p>
        </w:tc>
        <w:tc>
          <w:tcPr>
            <w:tcW w:type="dxa" w:w="1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setElevState 单写入口</w:t>
            </w:r>
          </w:p>
        </w:tc>
        <w:tc>
          <w:tcPr>
            <w:tcW w:type="dxa" w:w="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做（PR-P2-5）</w:t>
            </w:r>
          </w:p>
        </w:tc>
      </w:tr>
      <w:tr>
        <w:trPr>
          <w:tblHeader w:val="false"/>
        </w:trPr>
        <w:tc>
          <w:tcPr>
            <w:tcW w:type="dxa" w:w="48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WebSocket 快流 + REST 慢档的传输分工</w:t>
            </w:r>
          </w:p>
        </w:tc>
        <w:tc>
          <w:tcPr>
            <w:tcW w:type="dxa" w:w="1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KONE API 实践</w:t>
            </w:r>
          </w:p>
        </w:tc>
        <w:tc>
          <w:tcPr>
            <w:tcW w:type="dxa" w:w="1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做（PR-P3-2）</w:t>
            </w:r>
          </w:p>
        </w:tc>
      </w:tr>
      <w:tr>
        <w:trPr>
          <w:tblHeader w:val="false"/>
        </w:trPr>
        <w:tc>
          <w:tcPr>
            <w:tcW w:type="dxa" w:w="48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追加式日志 + 快照 → 时间轴回放</w:t>
            </w:r>
          </w:p>
        </w:tc>
        <w:tc>
          <w:tcPr>
            <w:tcW w:type="dxa" w:w="1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ADT Data History 模式</w:t>
            </w:r>
          </w:p>
        </w:tc>
        <w:tc>
          <w:tcPr>
            <w:tcW w:type="dxa" w:w="1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做（PR-P2-7）</w:t>
            </w:r>
          </w:p>
        </w:tc>
      </w:tr>
      <w:tr>
        <w:trPr>
          <w:tblHeader w:val="false"/>
        </w:trPr>
        <w:tc>
          <w:tcPr>
            <w:tcW w:type="dxa" w:w="48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陈旧检测（心跳超时可视降级）</w:t>
            </w:r>
          </w:p>
        </w:tc>
        <w:tc>
          <w:tcPr>
            <w:tcW w:type="dxa" w:w="1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监控品类共识</w:t>
            </w:r>
          </w:p>
        </w:tc>
        <w:tc>
          <w:tcPr>
            <w:tcW w:type="dxa" w:w="1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❌（KI-3）</w:t>
            </w:r>
          </w:p>
        </w:tc>
        <w:tc>
          <w:tcPr>
            <w:tcW w:type="dxa" w:w="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做（PR-P2-6）</w:t>
            </w:r>
          </w:p>
        </w:tc>
      </w:tr>
    </w:tbl>
    <w:p/>
    <w:p/>
    <w:p>
      <w:pPr>
        <w:pStyle w:val="Heading2"/>
      </w:pPr>
      <w:r>
        <w:t xml:space="preserve">4. 场景与环境分析（D4）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4391"/>
        <w:gridCol w:w="4221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环境</w:t>
            </w:r>
          </w:p>
        </w:tc>
        <w:tc>
          <w:tcPr>
            <w:tcW w:type="dxa" w:w="43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事实</w:t>
            </w:r>
          </w:p>
        </w:tc>
        <w:tc>
          <w:tcPr>
            <w:tcW w:type="dxa" w:w="42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派生需求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移动浏览器</w:t>
            </w:r>
          </w:p>
        </w:tc>
        <w:tc>
          <w:tcPr>
            <w:tcW w:type="dxa" w:w="43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touch/pointer 处理（grep=0）；面板宽 942px 起排，375px 视口必溢出</w:t>
            </w:r>
          </w:p>
        </w:tc>
        <w:tc>
          <w:tcPr>
            <w:tcW w:type="dxa" w:w="42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 响应式+触控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弱网/受限网络</w:t>
            </w:r>
          </w:p>
        </w:tc>
        <w:tc>
          <w:tcPr>
            <w:tcW w:type="dxa" w:w="43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three 从 jsdelivr 拉取，单点；国内访问抖动</w:t>
            </w:r>
          </w:p>
        </w:tc>
        <w:tc>
          <w:tcPr>
            <w:tcW w:type="dxa" w:w="42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 本地 vendor 兜底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后台标签页</w:t>
            </w:r>
          </w:p>
        </w:tc>
        <w:tc>
          <w:tcPr>
            <w:tcW w:type="dxa" w:w="43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rAF 节流≈冻结；回前台无提示</w:t>
            </w:r>
          </w:p>
        </w:tc>
        <w:tc>
          <w:tcPr>
            <w:tcW w:type="dxa" w:w="42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PR-P2-8 visibilitychange 横幅（并因 PR-P0-4 仿真时钟而不再失真）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投屏大屏</w:t>
            </w:r>
          </w:p>
        </w:tc>
        <w:tc>
          <w:tcPr>
            <w:tcW w:type="dxa" w:w="43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4K 下 pixelRatio 上限 2 合理；字号偏小</w:t>
            </w:r>
          </w:p>
        </w:tc>
        <w:tc>
          <w:tcPr>
            <w:tcW w:type="dxa" w:w="42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纳入 PR-P1-7 断点方案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长时运行</w:t>
            </w:r>
          </w:p>
        </w:tc>
        <w:tc>
          <w:tcPr>
            <w:tcW w:type="dxa" w:w="43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缓冲全部有界（NFR-3 已达标，保持）</w:t>
            </w:r>
          </w:p>
        </w:tc>
        <w:tc>
          <w:tcPr>
            <w:tcW w:type="dxa" w:w="42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回归项</w:t>
            </w:r>
          </w:p>
        </w:tc>
      </w:tr>
    </w:tbl>
    <w:p/>
    <w:p/>
    <w:p>
      <w:pPr>
        <w:pStyle w:val="Heading2"/>
      </w:pPr>
      <w:r>
        <w:t xml:space="preserve">5. 失效模式与可观测性（D3）</w:t>
      </w:r>
    </w:p>
    <w:p/>
    <w:p>
      <w:r>
        <w:t xml:space="preserve">核心一问：哪些失效用户当下察觉不到？FMEA-lite：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7"/>
        <w:gridCol w:w="870"/>
        <w:gridCol w:w="1414"/>
        <w:gridCol w:w="4029"/>
      </w:tblGrid>
      <w:tr>
        <w:trPr>
          <w:tblHeader/>
        </w:trPr>
        <w:tc>
          <w:tcPr>
            <w:tcW w:type="dxa" w:w="3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失效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用户当下可察觉?</w:t>
            </w:r>
          </w:p>
        </w:tc>
        <w:tc>
          <w:tcPr>
            <w:tcW w:type="dxa" w:w="14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后果</w:t>
            </w:r>
          </w:p>
        </w:tc>
        <w:tc>
          <w:tcPr>
            <w:tcW w:type="dxa" w:w="40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派生需求</w:t>
            </w:r>
          </w:p>
        </w:tc>
      </w:tr>
      <w:tr>
        <w:trPr>
          <w:tblHeader w:val="false"/>
        </w:trPr>
        <w:tc>
          <w:tcPr>
            <w:tcW w:type="dxa" w:w="3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乘客超 120 被静默移除（KI-2）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</w:t>
            </w:r>
          </w:p>
        </w:tc>
        <w:tc>
          <w:tcPr>
            <w:tcW w:type="dxa" w:w="14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等待 KPI 系统性偏乐观</w:t>
            </w:r>
          </w:p>
        </w:tc>
        <w:tc>
          <w:tcPr>
            <w:tcW w:type="dxa" w:w="40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 守恒自检+丢弃计数上屏</w:t>
            </w:r>
          </w:p>
        </w:tc>
      </w:tr>
      <w:tr>
        <w:trPr>
          <w:tblHeader w:val="false"/>
        </w:trPr>
        <w:tc>
          <w:tcPr>
            <w:tcW w:type="dxa" w:w="3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KPI 随倍速漂移（KI-1）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</w:t>
            </w:r>
          </w:p>
        </w:tc>
        <w:tc>
          <w:tcPr>
            <w:tcW w:type="dxa" w:w="14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对比结论全部作废</w:t>
            </w:r>
          </w:p>
        </w:tc>
        <w:tc>
          <w:tcPr>
            <w:tcW w:type="dxa" w:w="40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 仿真时钟</w:t>
            </w:r>
          </w:p>
        </w:tc>
      </w:tr>
      <w:tr>
        <w:trPr>
          <w:tblHeader w:val="false"/>
        </w:trPr>
        <w:tc>
          <w:tcPr>
            <w:tcW w:type="dxa" w:w="3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ext 数据断流（KI-3）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</w:t>
            </w:r>
          </w:p>
        </w:tc>
        <w:tc>
          <w:tcPr>
            <w:tcW w:type="dxa" w:w="14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把陈旧当实时看</w:t>
            </w:r>
          </w:p>
        </w:tc>
        <w:tc>
          <w:tcPr>
            <w:tcW w:type="dxa" w:w="40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PR-P2-6 心跳降级</w:t>
            </w:r>
          </w:p>
        </w:tc>
      </w:tr>
      <w:tr>
        <w:trPr>
          <w:tblHeader w:val="false"/>
        </w:trPr>
        <w:tc>
          <w:tcPr>
            <w:tcW w:type="dxa" w:w="3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CDN 失败白屏（KI-4）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是但无解释</w:t>
            </w:r>
          </w:p>
        </w:tc>
        <w:tc>
          <w:tcPr>
            <w:tcW w:type="dxa" w:w="14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直接流失</w:t>
            </w:r>
          </w:p>
        </w:tc>
        <w:tc>
          <w:tcPr>
            <w:tcW w:type="dxa" w:w="40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 兜底+错误页</w:t>
            </w:r>
          </w:p>
        </w:tc>
      </w:tr>
      <w:tr>
        <w:trPr>
          <w:tblHeader w:val="false"/>
        </w:trPr>
        <w:tc>
          <w:tcPr>
            <w:tcW w:type="dxa" w:w="3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localStorage 写满静默丢（catch 空吞）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</w:t>
            </w:r>
          </w:p>
        </w:tc>
        <w:tc>
          <w:tcPr>
            <w:tcW w:type="dxa" w:w="14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布局丢失"随机复现"</w:t>
            </w:r>
          </w:p>
        </w:tc>
        <w:tc>
          <w:tcPr>
            <w:tcW w:type="dxa" w:w="40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并入 PR-P1-1 自检上报</w:t>
            </w:r>
          </w:p>
        </w:tc>
      </w:tr>
      <w:tr>
        <w:trPr>
          <w:tblHeader w:val="false"/>
        </w:trPr>
        <w:tc>
          <w:tcPr>
            <w:tcW w:type="dxa" w:w="3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BOARDING 90s 静默回退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</w:t>
            </w:r>
          </w:p>
        </w:tc>
        <w:tc>
          <w:tcPr>
            <w:tcW w:type="dxa" w:w="14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极端拥堵下行为费解</w:t>
            </w:r>
          </w:p>
        </w:tc>
        <w:tc>
          <w:tcPr>
            <w:tcW w:type="dxa" w:w="40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事件已记 passed_by/重派——补 UI 徽标，并入 PR-P1-1</w:t>
            </w:r>
          </w:p>
        </w:tc>
      </w:tr>
    </w:tbl>
    <w:p/>
    <w:p/>
    <w:p>
      <w:r>
        <w:t xml:space="preserve">派生"健康自检"类需求（PR-P1-1）破坏性验收示范：注入 200 名乘客制造超限——界面必须出现"已丢弃 N 人"计数且 stat/snap 含 dropped 字段；人为断言 spawned=served+waiting+riding+dropped，不等即红色横幅。</w:t>
      </w:r>
    </w:p>
    <w:p/>
    <w:p>
      <w:pPr>
        <w:pStyle w:val="Heading2"/>
      </w:pPr>
      <w:r>
        <w:t xml:space="preserve">6. 生命周期分析（D5）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919"/>
        <w:gridCol w:w="5980"/>
        <w:gridCol w:w="1713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1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派生需求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安装/进入</w:t>
            </w:r>
          </w:p>
        </w:tc>
        <w:tc>
          <w:tcPr>
            <w:tcW w:type="dxa" w:w="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打开即用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首屏无引导（演示者任务受阻）</w:t>
            </w:r>
          </w:p>
        </w:tc>
        <w:tc>
          <w:tcPr>
            <w:tcW w:type="dxa" w:w="1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日常</w:t>
            </w:r>
          </w:p>
        </w:tc>
        <w:tc>
          <w:tcPr>
            <w:tcW w:type="dxa" w:w="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布局/语言已持久化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场景参数不持久、不可分享</w:t>
            </w:r>
          </w:p>
        </w:tc>
        <w:tc>
          <w:tcPr>
            <w:tcW w:type="dxa" w:w="1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PR-P2-9 URL 场景码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更新</w:t>
            </w:r>
          </w:p>
        </w:tc>
        <w:tc>
          <w:tcPr>
            <w:tcW w:type="dxa" w:w="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scp 覆盖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无版本号、无缓存破除，用户可能长期看旧版且无法核实</w:t>
            </w:r>
          </w:p>
        </w:tc>
        <w:tc>
          <w:tcPr>
            <w:tcW w:type="dxa" w:w="1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PR-P1-8 版本标识+构建指纹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退役/残留</w:t>
            </w:r>
          </w:p>
        </w:tc>
        <w:tc>
          <w:tcPr>
            <w:tcW w:type="dxa" w:w="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仓库内 v0.1 模块化原型（control/optimization/simulation/ vite）与 index.html 无引用；字典死键 xEStop 等</w:t>
            </w:r>
          </w:p>
        </w:tc>
        <w:tc>
          <w:tcPr>
            <w:tcW w:type="dxa" w:w="1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PR-P3-4 清理归档（工程债）</w:t>
            </w:r>
          </w:p>
        </w:tc>
      </w:tr>
    </w:tbl>
    <w:p/>
    <w:p/>
    <w:p>
      <w:pPr>
        <w:pStyle w:val="Heading2"/>
      </w:pPr>
      <w:r>
        <w:t xml:space="preserve">7. 威胁与滥用建模（D6）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8"/>
        <w:gridCol w:w="3054"/>
        <w:gridCol w:w="1872"/>
        <w:gridCol w:w="3646"/>
      </w:tblGrid>
      <w:tr>
        <w:trPr>
          <w:tblHeader/>
        </w:trPr>
        <w:tc>
          <w:tcPr>
            <w:tcW w:type="dxa" w:w="7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资产</w:t>
            </w:r>
          </w:p>
        </w:tc>
        <w:tc>
          <w:tcPr>
            <w:tcW w:type="dxa" w:w="3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威胁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现状缓解</w:t>
            </w:r>
          </w:p>
        </w:tc>
        <w:tc>
          <w:tcPr>
            <w:tcW w:type="dxa" w:w="3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缺口/决策</w:t>
            </w:r>
          </w:p>
        </w:tc>
      </w:tr>
      <w:tr>
        <w:trPr>
          <w:tblHeader w:val="false"/>
        </w:trPr>
        <w:tc>
          <w:tcPr>
            <w:tcW w:type="dxa" w:w="7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页面完整性</w:t>
            </w:r>
          </w:p>
        </w:tc>
        <w:tc>
          <w:tcPr>
            <w:tcW w:type="dxa" w:w="3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第三方 iframe 嵌入误导展示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3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接受（公开演示品）；embed 模式做显式来源标识（并入 PR-P2-9）</w:t>
            </w:r>
          </w:p>
        </w:tc>
      </w:tr>
      <w:tr>
        <w:trPr>
          <w:tblHeader w:val="false"/>
        </w:trPr>
        <w:tc>
          <w:tcPr>
            <w:tcW w:type="dxa" w:w="7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ext 注入通道</w:t>
            </w:r>
          </w:p>
        </w:tc>
        <w:tc>
          <w:tcPr>
            <w:tcW w:type="dxa" w:w="3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setElevState(999,…) 越界 id 建幽灵条目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视图侧无害（仅渲染 0..n-1）</w:t>
            </w:r>
          </w:p>
        </w:tc>
        <w:tc>
          <w:tcPr>
            <w:tcW w:type="dxa" w:w="3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低成本收口：id 边界校验并入 PR-P2-5</w:t>
            </w:r>
          </w:p>
        </w:tc>
      </w:tr>
      <w:tr>
        <w:trPr>
          <w:tblHeader w:val="false"/>
        </w:trPr>
        <w:tc>
          <w:tcPr>
            <w:tcW w:type="dxa" w:w="7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日志外发开关</w:t>
            </w:r>
          </w:p>
        </w:tc>
        <w:tc>
          <w:tcPr>
            <w:tcW w:type="dxa" w:w="3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__ELV_LOG_SINK 被注入脚本开启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目标固定 localhost，无外泄面</w:t>
            </w:r>
          </w:p>
        </w:tc>
        <w:tc>
          <w:tcPr>
            <w:tcW w:type="dxa" w:w="3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接受，记录在案</w:t>
            </w:r>
          </w:p>
        </w:tc>
      </w:tr>
      <w:tr>
        <w:trPr>
          <w:tblHeader w:val="false"/>
        </w:trPr>
        <w:tc>
          <w:tcPr>
            <w:tcW w:type="dxa" w:w="7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用户隐私</w:t>
            </w:r>
          </w:p>
        </w:tc>
        <w:tc>
          <w:tcPr>
            <w:tcW w:type="dxa" w:w="3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零采集</w:t>
            </w:r>
          </w:p>
        </w:tc>
        <w:tc>
          <w:tcPr>
            <w:tcW w:type="dxa" w:w="3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保持（NFR-5 回归项）</w:t>
            </w:r>
          </w:p>
        </w:tc>
      </w:tr>
    </w:tbl>
    <w:p/>
    <w:p/>
    <w:p>
      <w:pPr>
        <w:pStyle w:val="Heading2"/>
      </w:pPr>
      <w:r>
        <w:t xml:space="preserve">8. 需求全景与优先级</w:t>
      </w:r>
    </w:p>
    <w:p/>
    <w:p>
      <w:r>
        <w:t xml:space="preserve">P0=阻断核心任务或品类硬伤；P1=健壮性与合格线；P2=增强；P3=锦上添花。已实现项引用 FR 以呈现全景，不再展开。</w:t>
      </w:r>
    </w:p>
    <w:p/>
    <w:p>
      <w:pPr>
        <w:pStyle w:val="Heading3"/>
      </w:pPr>
      <w:r>
        <w:t xml:space="preserve">8.1 P0（可信内核）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"/>
        <w:gridCol w:w="7489"/>
        <w:gridCol w:w="998"/>
      </w:tblGrid>
      <w:tr>
        <w:trPr>
          <w:tblHeader/>
        </w:trPr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4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74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无头确定性内核：物理/调度抽为固定步长纯函数模块（0.1s tick），Node 与浏览器同源运行</w:t>
            </w:r>
          </w:p>
        </w:tc>
        <w:tc>
          <w:tcPr>
            <w:tcW w:type="dxa" w:w="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D1/D2/D7</w:t>
            </w:r>
          </w:p>
        </w:tc>
      </w:tr>
      <w:tr>
        <w:trPr>
          <w:tblHeader w:val="false"/>
        </w:trPr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74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种子化 RNG：场景含 seed，全部随机走 PRNG（mulberry32 级）</w:t>
            </w:r>
          </w:p>
        </w:tc>
        <w:tc>
          <w:tcPr>
            <w:tcW w:type="dxa" w:w="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D1/D7</w:t>
            </w:r>
          </w:p>
        </w:tc>
      </w:tr>
      <w:tr>
        <w:trPr>
          <w:tblHeader w:val="false"/>
        </w:trPr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</w:t>
            </w:r>
          </w:p>
        </w:tc>
        <w:tc>
          <w:tcPr>
            <w:tcW w:type="dxa" w:w="74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CIBSE 口径 KPI：RTT、INT=RTT/L、HC5%、AWT、ATT、ATTD、P95、装载率 CF</w:t>
            </w:r>
          </w:p>
        </w:tc>
        <w:tc>
          <w:tcPr>
            <w:tcW w:type="dxa" w:w="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D1/D2</w:t>
            </w:r>
          </w:p>
        </w:tc>
      </w:tr>
      <w:tr>
        <w:trPr>
          <w:tblHeader w:val="false"/>
        </w:trPr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</w:t>
            </w:r>
          </w:p>
        </w:tc>
        <w:tc>
          <w:tcPr>
            <w:tcW w:type="dxa" w:w="74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仿真时钟：一切 KPI 以仿真秒计，倍速仅影响墙钟映射</w:t>
            </w:r>
          </w:p>
        </w:tc>
        <w:tc>
          <w:tcPr>
            <w:tcW w:type="dxa" w:w="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D1/D3</w:t>
            </w:r>
          </w:p>
        </w:tc>
      </w:tr>
      <w:tr>
        <w:trPr>
          <w:tblHeader w:val="false"/>
        </w:trPr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PR-P0-5</w:t>
            </w:r>
          </w:p>
        </w:tc>
        <w:tc>
          <w:tcPr>
            <w:tcW w:type="dxa" w:w="74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规范化客流模板：以"每 5 分钟人口百分比 + 进/出/层间三向占比"参数化，内置 CIBSE 现代办公上行峰（85/10/5）、午餐峰（45/45/10）、全天曲线、阶梯压力谱</w:t>
            </w:r>
          </w:p>
        </w:tc>
        <w:tc>
          <w:tcPr>
            <w:tcW w:type="dxa" w:w="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PR-P0-6</w:t>
            </w:r>
          </w:p>
        </w:tc>
        <w:tc>
          <w:tcPr>
            <w:tcW w:type="dxa" w:w="74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逐乘客批次报告与 CSV 导出（到达 t/等待/乘行/全程，含均值/P50/P95/最差/CF）</w:t>
            </w:r>
          </w:p>
        </w:tc>
        <w:tc>
          <w:tcPr>
            <w:tcW w:type="dxa" w:w="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D1/D2</w:t>
            </w:r>
          </w:p>
        </w:tc>
      </w:tr>
    </w:tbl>
    <w:p/>
    <w:p/>
    <w:p>
      <w:pPr>
        <w:pStyle w:val="Heading3"/>
      </w:pPr>
      <w:r>
        <w:t xml:space="preserve">8.2 P1（合格线）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6480"/>
        <w:gridCol w:w="1620"/>
      </w:tblGrid>
      <w:tr>
        <w:trPr>
          <w:tblHeader/>
        </w:trP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健康自检：乘客守恒断言、丢弃计数上屏、localStorage 失败提示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真 DCS：厅外目的层登记 + 指派回显 + 目的地分组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首次引导图例（双语、可重开）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D1(演示)/D5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空间轨迹图：各梯楼层×时间曲线（品类招牌图）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派梯理由解释：呼梯瞬间展示各梯评分构成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D1(学习)/D2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three 本地 vendor 兜底 + CDN 失败错误页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D4/D3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移动端响应式与 Pointer Events 触控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PR-P1-8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版本标识：页内 APP_VERSION + 查询串缓存破除 + 页脚展示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PR-P1-9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3D 场景标注：楼层号与轿厢编号 Sprite（远距自动隐藏）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D1(演示)/D2</w:t>
            </w:r>
          </w:p>
        </w:tc>
      </w:tr>
    </w:tbl>
    <w:p/>
    <w:p/>
    <w:p>
      <w:pPr>
        <w:pStyle w:val="Heading3"/>
      </w:pPr>
      <w:r>
        <w:t xml:space="preserve">8.3 P2（增强）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2"/>
        <w:gridCol w:w="7390"/>
        <w:gridCol w:w="1108"/>
      </w:tblGrid>
      <w:tr>
        <w:trPr>
          <w:tblHeader/>
        </w:trPr>
        <w:tc>
          <w:tcPr>
            <w:tcW w:type="dxa" w:w="8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11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8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</w:t>
            </w:r>
          </w:p>
        </w:tc>
        <w:tc>
          <w:tcPr>
            <w:tcW w:type="dxa" w:w="7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可插拔调度器：文档化事件 API，用户 JS/Worker 注入自定义群控并进 A/B</w:t>
            </w:r>
          </w:p>
        </w:tc>
        <w:tc>
          <w:tcPr>
            <w:tcW w:type="dxa" w:w="11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D1(学习)/D2</w:t>
            </w:r>
          </w:p>
        </w:tc>
      </w:tr>
      <w:tr>
        <w:trPr>
          <w:tblHeader w:val="false"/>
        </w:trPr>
        <w:tc>
          <w:tcPr>
            <w:tcW w:type="dxa" w:w="8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PR-P2-2</w:t>
            </w:r>
          </w:p>
        </w:tc>
        <w:tc>
          <w:tcPr>
            <w:tcW w:type="dxa" w:w="7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多目标代价派梯 + 分时权重档（peak/eco），权重滑杆实时可调</w:t>
            </w:r>
          </w:p>
        </w:tc>
        <w:tc>
          <w:tcPr>
            <w:tcW w:type="dxa" w:w="11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8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PR-P2-3</w:t>
            </w:r>
          </w:p>
        </w:tc>
        <w:tc>
          <w:tcPr>
            <w:tcW w:type="dxa" w:w="7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呼梯类型：VIP 优先与无障碍（驻留+3–6s、减容）</w:t>
            </w:r>
          </w:p>
        </w:tc>
        <w:tc>
          <w:tcPr>
            <w:tcW w:type="dxa" w:w="11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8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PR-P2-4</w:t>
            </w:r>
          </w:p>
        </w:tc>
        <w:tc>
          <w:tcPr>
            <w:tcW w:type="dxa" w:w="7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乘客放弃模型（超阈值离开并计入报告）</w:t>
            </w:r>
          </w:p>
        </w:tc>
        <w:tc>
          <w:tcPr>
            <w:tcW w:type="dxa" w:w="11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8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PR-P2-5</w:t>
            </w:r>
          </w:p>
        </w:tc>
        <w:tc>
          <w:tcPr>
            <w:tcW w:type="dxa" w:w="7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读取契约：getState() 快照 + subscribe() 事件流 + property/telemetry 分离 schema（含 ext id 校验）</w:t>
            </w:r>
          </w:p>
        </w:tc>
        <w:tc>
          <w:tcPr>
            <w:tcW w:type="dxa" w:w="11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D2/D6</w:t>
            </w:r>
          </w:p>
        </w:tc>
      </w:tr>
      <w:tr>
        <w:trPr>
          <w:tblHeader w:val="false"/>
        </w:trPr>
        <w:tc>
          <w:tcPr>
            <w:tcW w:type="dxa" w:w="8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PR-P2-6</w:t>
            </w:r>
          </w:p>
        </w:tc>
        <w:tc>
          <w:tcPr>
            <w:tcW w:type="dxa" w:w="7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ext 心跳：超时视图降级置灰 + 「数据已陈旧」横幅</w:t>
            </w:r>
          </w:p>
        </w:tc>
        <w:tc>
          <w:tcPr>
            <w:tcW w:type="dxa" w:w="11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  <w:tr>
        <w:trPr>
          <w:tblHeader w:val="false"/>
        </w:trPr>
        <w:tc>
          <w:tcPr>
            <w:tcW w:type="dxa" w:w="8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PR-P2-7</w:t>
            </w:r>
          </w:p>
        </w:tc>
        <w:tc>
          <w:tcPr>
            <w:tcW w:type="dxa" w:w="7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回放：追加日志+周期快照，时间轴拖拽重演</w:t>
            </w:r>
          </w:p>
        </w:tc>
        <w:tc>
          <w:tcPr>
            <w:tcW w:type="dxa" w:w="11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8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PR-P2-8</w:t>
            </w:r>
          </w:p>
        </w:tc>
        <w:tc>
          <w:tcPr>
            <w:tcW w:type="dxa" w:w="7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后台标签横幅：回前台提示"仿真已暂停 N 仿真秒"</w:t>
            </w:r>
          </w:p>
        </w:tc>
        <w:tc>
          <w:tcPr>
            <w:tcW w:type="dxa" w:w="11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</w:tr>
      <w:tr>
        <w:trPr>
          <w:tblHeader w:val="false"/>
        </w:trPr>
        <w:tc>
          <w:tcPr>
            <w:tcW w:type="dxa" w:w="8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PR-P2-9</w:t>
            </w:r>
          </w:p>
        </w:tc>
        <w:tc>
          <w:tcPr>
            <w:tcW w:type="dxa" w:w="7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URL 场景码分享 + ?embed 模式（含来源标识）</w:t>
            </w:r>
          </w:p>
        </w:tc>
        <w:tc>
          <w:tcPr>
            <w:tcW w:type="dxa" w:w="11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D5/D6</w:t>
            </w:r>
          </w:p>
        </w:tc>
      </w:tr>
    </w:tbl>
    <w:p/>
    <w:p/>
    <w:p>
      <w:pPr>
        <w:pStyle w:val="Heading3"/>
      </w:pPr>
      <w:r>
        <w:t xml:space="preserve">8.4 P3（锦上添花）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6"/>
        <w:gridCol w:w="7399"/>
        <w:gridCol w:w="905"/>
      </w:tblGrid>
      <w:tr>
        <w:trPr>
          <w:tblHeader/>
        </w:trPr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3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9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PR-P3-1</w:t>
            </w:r>
          </w:p>
        </w:tc>
        <w:tc>
          <w:tcPr>
            <w:tcW w:type="dxa" w:w="73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A/B 记分板界面化：同种子多算法并跑对比表</w:t>
            </w:r>
          </w:p>
        </w:tc>
        <w:tc>
          <w:tcPr>
            <w:tcW w:type="dxa" w:w="9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</w:tr>
      <w:tr>
        <w:trPr>
          <w:tblHeader w:val="false"/>
        </w:trPr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PR-P3-2</w:t>
            </w:r>
          </w:p>
        </w:tc>
        <w:tc>
          <w:tcPr>
            <w:tcW w:type="dxa" w:w="73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WebSocket / MQTT-over-WSS 遥测适配器（10Hz 推流 + 航位推算插值）</w:t>
            </w:r>
          </w:p>
        </w:tc>
        <w:tc>
          <w:tcPr>
            <w:tcW w:type="dxa" w:w="9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PR-P3-3</w:t>
            </w:r>
          </w:p>
        </w:tc>
        <w:tc>
          <w:tcPr>
            <w:tcW w:type="dxa" w:w="73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挑战关卡模式（Saga 式 pass/fail 目标）</w:t>
            </w:r>
          </w:p>
        </w:tc>
        <w:tc>
          <w:tcPr>
            <w:tcW w:type="dxa" w:w="9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D1(学习)</w:t>
            </w:r>
          </w:p>
        </w:tc>
      </w:tr>
      <w:tr>
        <w:trPr>
          <w:tblHeader w:val="false"/>
        </w:trPr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PR-P3-4</w:t>
            </w:r>
          </w:p>
        </w:tc>
        <w:tc>
          <w:tcPr>
            <w:tcW w:type="dxa" w:w="73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工程清理：归档 v0.1 原型目录、删死字典键、a11y 焦点与 ARIA</w:t>
            </w:r>
          </w:p>
        </w:tc>
        <w:tc>
          <w:tcPr>
            <w:tcW w:type="dxa" w:w="9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D5/D7</w:t>
            </w:r>
          </w:p>
        </w:tc>
      </w:tr>
    </w:tbl>
    <w:p/>
    <w:p/>
    <w:p>
      <w:pPr>
        <w:pStyle w:val="Heading2"/>
      </w:pPr>
      <w:r>
        <w:t xml:space="preserve">9. P0 缺口专项</w:t>
      </w:r>
    </w:p>
    <w:p/>
    <w:p>
      <w:r>
        <w:rPr>
          <w:b/>
          <w:bCs/>
        </w:rPr>
        <w:t xml:space="preserve">品类级硬伤点名</w:t>
      </w:r>
      <w:r>
        <w:t xml:space="preserve">：PR-P0-2（种子）+ PR-P0-4（仿真时钟）。没有这两条，本产品叫不上"仿真"——只能叫"动画"：任何 KPI 都不可复验、且随播放速度漂移。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2"/>
        <w:gridCol w:w="3138"/>
        <w:gridCol w:w="3864"/>
        <w:gridCol w:w="748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8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任务影响</w:t>
            </w:r>
          </w:p>
        </w:tc>
        <w:tc>
          <w:tcPr>
            <w:tcW w:type="dxa" w:w="3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方案概要</w:t>
            </w:r>
          </w:p>
        </w:tc>
        <w:tc>
          <w:tcPr>
            <w:tcW w:type="dxa" w:w="3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破坏性验收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量级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8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扫参/回归全部依赖</w:t>
            </w:r>
          </w:p>
        </w:tc>
        <w:tc>
          <w:tcPr>
            <w:tcW w:type="dxa" w:w="3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抽 sim-core（tick 纯函数），渲染订阅事件总线</w:t>
            </w:r>
          </w:p>
        </w:tc>
        <w:tc>
          <w:tcPr>
            <w:tcW w:type="dxa" w:w="3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断网+无 DOM 的 Node 进程跑完 2h 客流出报告；浏览器同种子结果逐位一致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大（重构）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8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复现性根基</w:t>
            </w:r>
          </w:p>
        </w:tc>
        <w:tc>
          <w:tcPr>
            <w:tcW w:type="dxa" w:w="3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cfg.seed；Math.random 全替换为注入 PRNG</w:t>
            </w:r>
          </w:p>
        </w:tc>
        <w:tc>
          <w:tcPr>
            <w:tcW w:type="dxa" w:w="3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同种子跑 3 遍 diff 事件流=空；不同种子必不同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</w:t>
            </w:r>
          </w:p>
        </w:tc>
        <w:tc>
          <w:tcPr>
            <w:tcW w:type="dxa" w:w="8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指标可信度</w:t>
            </w:r>
          </w:p>
        </w:tc>
        <w:tc>
          <w:tcPr>
            <w:tcW w:type="dxa" w:w="3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按 Guide D 公式实现并在 KPI 面板并列展示</w:t>
            </w:r>
          </w:p>
        </w:tc>
        <w:tc>
          <w:tcPr>
            <w:tcW w:type="dxa" w:w="3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标准 10 层案例与手工计算书误差&lt;5%；故意改错公式常数须被单测抓住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</w:t>
            </w:r>
          </w:p>
        </w:tc>
        <w:tc>
          <w:tcPr>
            <w:tcW w:type="dxa" w:w="8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一切对比前提</w:t>
            </w:r>
          </w:p>
        </w:tc>
        <w:tc>
          <w:tcPr>
            <w:tcW w:type="dxa" w:w="3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simClock 累加 sdt；全部 spawn/wait 记仿真秒</w:t>
            </w:r>
          </w:p>
        </w:tc>
        <w:tc>
          <w:tcPr>
            <w:tcW w:type="dxa" w:w="3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同种子 1× 与 8× 跑完同场景，全部 KPI 逐项相等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PR-P0-5</w:t>
            </w:r>
          </w:p>
        </w:tc>
        <w:tc>
          <w:tcPr>
            <w:tcW w:type="dxa" w:w="8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场景可信度</w:t>
            </w:r>
          </w:p>
        </w:tc>
        <w:tc>
          <w:tcPr>
            <w:tcW w:type="dxa" w:w="3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模板=十二个 5 分钟段 {%人口, 进/出/层间}</w:t>
            </w:r>
          </w:p>
        </w:tc>
        <w:tc>
          <w:tcPr>
            <w:tcW w:type="dxa" w:w="3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生成 10000 乘客统计三向占比与模板偏差&lt;2pp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PR-P0-6</w:t>
            </w:r>
          </w:p>
        </w:tc>
        <w:tc>
          <w:tcPr>
            <w:tcW w:type="dxa" w:w="8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结果可带走</w:t>
            </w:r>
          </w:p>
        </w:tc>
        <w:tc>
          <w:tcPr>
            <w:tcW w:type="dxa" w:w="3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内存乘客账本 → Blob CSV</w:t>
            </w:r>
          </w:p>
        </w:tc>
        <w:tc>
          <w:tcPr>
            <w:tcW w:type="dxa" w:w="3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打开导出文件重算均值/P95 与面板一致；中途重置场景不得混入上一场次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</w:t>
            </w:r>
          </w:p>
        </w:tc>
      </w:tr>
    </w:tbl>
    <w:p/>
    <w:p/>
    <w:p>
      <w:pPr>
        <w:pStyle w:val="Heading2"/>
      </w:pPr>
      <w:r>
        <w:t xml:space="preserve">10. 里程碑与发布规划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5280"/>
        <w:gridCol w:w="3120"/>
      </w:tblGrid>
      <w:tr>
        <w:trPr>
          <w:tblHeader/>
        </w:trP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里程碑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出口标准</w:t>
            </w:r>
          </w:p>
        </w:tc>
      </w:tr>
      <w:tr>
        <w:trPr>
          <w:tblHeader w:val="false"/>
        </w:trP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 稳定性收口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 自检 + PR-P1-8 版本标识 + 回归基线（现 KPI 快照存档）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自检红线 0 触发连续 48h 演示</w:t>
            </w:r>
          </w:p>
        </w:tc>
      </w:tr>
      <w:tr>
        <w:trPr>
          <w:tblHeader w:val="false"/>
        </w:trP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 可信内核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全部 P0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§9 六条破坏性验收全过；1×=8× KPI 相等</w:t>
            </w:r>
          </w:p>
        </w:tc>
      </w:tr>
      <w:tr>
        <w:trPr>
          <w:tblHeader w:val="false"/>
        </w:trP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 合格线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 全部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 375px 全功能走查；CDN 拔线有错误页</w:t>
            </w:r>
          </w:p>
        </w:tc>
      </w:tr>
      <w:tr>
        <w:trPr>
          <w:tblHeader w:val="false"/>
        </w:trP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M3 增强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 按依赖排队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回放重演终态=原始终态</w:t>
            </w:r>
          </w:p>
        </w:tc>
      </w:tr>
      <w:tr>
        <w:trPr>
          <w:tblHeader w:val="false"/>
        </w:trP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M4 平台化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P3 视资源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</w:tbl>
    <w:p/>
    <w:p/>
    <w:p>
      <w:pPr>
        <w:pStyle w:val="Heading2"/>
      </w:pPr>
      <w:r>
        <w:t xml:space="preserve">11. 验收与质量策略（D7）</w:t>
      </w:r>
    </w:p>
    <w:p/>
    <w:p>
      <w:r>
        <w:t xml:space="preserve">可测性夹具本身是需求：sim-core 单测（RTT 公式对标 Guide D 工作算例：15 层 5 梯案例）；种子回归夹具（seed+场景 → KPI 快照 JSON 存仓库，CI diff）；无头 runner（node run-scenario.js --seed 42 --template uppeak --hours 2）；现有 node --check 门禁保留为最后兜底。历史返工场景（面板布局 4 轮返工）必须能被"布局持久化 e2e 断言"自动回归覆盖。</w:t>
      </w:r>
    </w:p>
    <w:p/>
    <w:p>
      <w:pPr>
        <w:pStyle w:val="Heading2"/>
      </w:pPr>
      <w:r>
        <w:t xml:space="preserve">12. 非目标与已知取舍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3"/>
        <w:gridCol w:w="5007"/>
      </w:tblGrid>
      <w:tr>
        <w:trPr>
          <w:tblHeader/>
        </w:trPr>
        <w:tc>
          <w:tcPr>
            <w:tcW w:type="dxa" w:w="43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不做</w:t>
            </w:r>
          </w:p>
        </w:tc>
        <w:tc>
          <w:tcPr>
            <w:tcW w:type="dxa" w:w="50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43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BIM/IFC 导出、双层轿厢、多入口层</w:t>
            </w:r>
          </w:p>
        </w:tc>
        <w:tc>
          <w:tcPr>
            <w:tcW w:type="dxa" w:w="50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咨询工具专业面，演示/教学定位投入产出不成立</w:t>
            </w:r>
          </w:p>
        </w:tc>
      </w:tr>
      <w:tr>
        <w:trPr>
          <w:tblHeader w:val="false"/>
        </w:trPr>
        <w:tc>
          <w:tcPr>
            <w:tcW w:type="dxa" w:w="43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账号体系与云端存储</w:t>
            </w:r>
          </w:p>
        </w:tc>
        <w:tc>
          <w:tcPr>
            <w:tcW w:type="dxa" w:w="50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静态站定位；分享走 URL 场景码</w:t>
            </w:r>
          </w:p>
        </w:tc>
      </w:tr>
      <w:tr>
        <w:trPr>
          <w:tblHeader w:val="false"/>
        </w:trPr>
        <w:tc>
          <w:tcPr>
            <w:tcW w:type="dxa" w:w="43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真实厂商协议对接（KONE API 等）</w:t>
            </w:r>
          </w:p>
        </w:tc>
        <w:tc>
          <w:tcPr>
            <w:tcW w:type="dxa" w:w="50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保留 schema 兼容即可，实连属集成方工程</w:t>
            </w:r>
          </w:p>
        </w:tc>
      </w:tr>
      <w:tr>
        <w:trPr>
          <w:tblHeader w:val="false"/>
        </w:trPr>
        <w:tc>
          <w:tcPr>
            <w:tcW w:type="dxa" w:w="43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 3D 性能深度优化</w:t>
            </w:r>
          </w:p>
        </w:tc>
        <w:tc>
          <w:tcPr>
            <w:tcW w:type="dxa" w:w="50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适配可用即可，主战场是桌面/大屏</w:t>
            </w:r>
          </w:p>
        </w:tc>
      </w:tr>
    </w:tbl>
    <w:p/>
    <w:p/>
    <w:p>
      <w:pPr>
        <w:pStyle w:val="Heading2"/>
      </w:pPr>
      <w:r>
        <w:t xml:space="preserve">附录 A 需求追溯矩阵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4"/>
        <w:gridCol w:w="2582"/>
        <w:gridCol w:w="968"/>
        <w:gridCol w:w="968"/>
        <w:gridCol w:w="968"/>
      </w:tblGrid>
      <w:tr>
        <w:trPr>
          <w:tblHeader/>
        </w:trPr>
        <w:tc>
          <w:tcPr>
            <w:tcW w:type="dxa" w:w="3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</w:t>
            </w:r>
          </w:p>
        </w:tc>
        <w:tc>
          <w:tcPr>
            <w:tcW w:type="dxa" w:w="25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来源维度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里程碑</w:t>
            </w:r>
          </w:p>
        </w:tc>
      </w:tr>
      <w:tr>
        <w:trPr>
          <w:tblHeader w:val="false"/>
        </w:trPr>
        <w:tc>
          <w:tcPr>
            <w:tcW w:type="dxa" w:w="3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25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D1/D2/D7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</w:t>
            </w:r>
          </w:p>
        </w:tc>
      </w:tr>
      <w:tr>
        <w:trPr>
          <w:tblHeader w:val="false"/>
        </w:trPr>
        <w:tc>
          <w:tcPr>
            <w:tcW w:type="dxa" w:w="3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25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D1/D7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</w:t>
            </w:r>
          </w:p>
        </w:tc>
      </w:tr>
      <w:tr>
        <w:trPr>
          <w:tblHeader w:val="false"/>
        </w:trPr>
        <w:tc>
          <w:tcPr>
            <w:tcW w:type="dxa" w:w="3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</w:t>
            </w:r>
          </w:p>
        </w:tc>
        <w:tc>
          <w:tcPr>
            <w:tcW w:type="dxa" w:w="25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D1/D2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</w:t>
            </w:r>
          </w:p>
        </w:tc>
      </w:tr>
      <w:tr>
        <w:trPr>
          <w:tblHeader w:val="false"/>
        </w:trPr>
        <w:tc>
          <w:tcPr>
            <w:tcW w:type="dxa" w:w="3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</w:t>
            </w:r>
          </w:p>
        </w:tc>
        <w:tc>
          <w:tcPr>
            <w:tcW w:type="dxa" w:w="25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D1/D3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</w:t>
            </w:r>
          </w:p>
        </w:tc>
      </w:tr>
      <w:tr>
        <w:trPr>
          <w:tblHeader w:val="false"/>
        </w:trPr>
        <w:tc>
          <w:tcPr>
            <w:tcW w:type="dxa" w:w="3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PR-P0-5</w:t>
            </w:r>
          </w:p>
        </w:tc>
        <w:tc>
          <w:tcPr>
            <w:tcW w:type="dxa" w:w="25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</w:t>
            </w:r>
          </w:p>
        </w:tc>
      </w:tr>
      <w:tr>
        <w:trPr>
          <w:tblHeader w:val="false"/>
        </w:trPr>
        <w:tc>
          <w:tcPr>
            <w:tcW w:type="dxa" w:w="3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PR-P0-6</w:t>
            </w:r>
          </w:p>
        </w:tc>
        <w:tc>
          <w:tcPr>
            <w:tcW w:type="dxa" w:w="25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D1/D2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</w:t>
            </w:r>
          </w:p>
        </w:tc>
      </w:tr>
      <w:tr>
        <w:trPr>
          <w:tblHeader w:val="false"/>
        </w:trPr>
        <w:tc>
          <w:tcPr>
            <w:tcW w:type="dxa" w:w="3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</w:t>
            </w:r>
          </w:p>
        </w:tc>
        <w:tc>
          <w:tcPr>
            <w:tcW w:type="dxa" w:w="25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</w:t>
            </w:r>
          </w:p>
        </w:tc>
      </w:tr>
      <w:tr>
        <w:trPr>
          <w:tblHeader w:val="false"/>
        </w:trPr>
        <w:tc>
          <w:tcPr>
            <w:tcW w:type="dxa" w:w="3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25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</w:t>
            </w:r>
          </w:p>
        </w:tc>
      </w:tr>
      <w:tr>
        <w:trPr>
          <w:tblHeader w:val="false"/>
        </w:trPr>
        <w:tc>
          <w:tcPr>
            <w:tcW w:type="dxa" w:w="3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25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D1/D5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</w:t>
            </w:r>
          </w:p>
        </w:tc>
      </w:tr>
      <w:tr>
        <w:trPr>
          <w:tblHeader w:val="false"/>
        </w:trPr>
        <w:tc>
          <w:tcPr>
            <w:tcW w:type="dxa" w:w="3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25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</w:t>
            </w:r>
          </w:p>
        </w:tc>
      </w:tr>
      <w:tr>
        <w:trPr>
          <w:tblHeader w:val="false"/>
        </w:trPr>
        <w:tc>
          <w:tcPr>
            <w:tcW w:type="dxa" w:w="3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</w:t>
            </w:r>
          </w:p>
        </w:tc>
        <w:tc>
          <w:tcPr>
            <w:tcW w:type="dxa" w:w="25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D1/D2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</w:t>
            </w:r>
          </w:p>
        </w:tc>
      </w:tr>
      <w:tr>
        <w:trPr>
          <w:tblHeader w:val="false"/>
        </w:trPr>
        <w:tc>
          <w:tcPr>
            <w:tcW w:type="dxa" w:w="3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25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D4/D3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</w:t>
            </w:r>
          </w:p>
        </w:tc>
      </w:tr>
      <w:tr>
        <w:trPr>
          <w:tblHeader w:val="false"/>
        </w:trPr>
        <w:tc>
          <w:tcPr>
            <w:tcW w:type="dxa" w:w="3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25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</w:t>
            </w:r>
          </w:p>
        </w:tc>
      </w:tr>
      <w:tr>
        <w:trPr>
          <w:tblHeader w:val="false"/>
        </w:trPr>
        <w:tc>
          <w:tcPr>
            <w:tcW w:type="dxa" w:w="3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PR-P1-8</w:t>
            </w:r>
          </w:p>
        </w:tc>
        <w:tc>
          <w:tcPr>
            <w:tcW w:type="dxa" w:w="25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</w:t>
            </w:r>
          </w:p>
        </w:tc>
      </w:tr>
      <w:tr>
        <w:trPr>
          <w:tblHeader w:val="false"/>
        </w:trPr>
        <w:tc>
          <w:tcPr>
            <w:tcW w:type="dxa" w:w="3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PR-P1-9</w:t>
            </w:r>
          </w:p>
        </w:tc>
        <w:tc>
          <w:tcPr>
            <w:tcW w:type="dxa" w:w="25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D1/D2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</w:t>
            </w:r>
          </w:p>
        </w:tc>
      </w:tr>
      <w:tr>
        <w:trPr>
          <w:tblHeader w:val="false"/>
        </w:trPr>
        <w:tc>
          <w:tcPr>
            <w:tcW w:type="dxa" w:w="3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PR-P2-1…P2-9</w:t>
            </w:r>
          </w:p>
        </w:tc>
        <w:tc>
          <w:tcPr>
            <w:tcW w:type="dxa" w:w="25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见 §8.3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M3</w:t>
            </w:r>
          </w:p>
        </w:tc>
      </w:tr>
      <w:tr>
        <w:trPr>
          <w:tblHeader w:val="false"/>
        </w:trPr>
        <w:tc>
          <w:tcPr>
            <w:tcW w:type="dxa" w:w="3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PR-P3-1…P3-4</w:t>
            </w:r>
          </w:p>
        </w:tc>
        <w:tc>
          <w:tcPr>
            <w:tcW w:type="dxa" w:w="25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见 §8.4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P3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M4</w:t>
            </w:r>
          </w:p>
        </w:tc>
      </w:tr>
    </w:tbl>
    <w:p/>
    <w:p/>
    <w:p>
      <w:pPr>
        <w:pStyle w:val="Heading2"/>
      </w:pPr>
      <w:r>
        <w:t xml:space="preserve">附录 B 行业基准参考（本文引用口径）</w:t>
      </w:r>
    </w:p>
    <w:p/>
    <w:p>
      <w:r>
        <w:t xml:space="preserve">KPI 目标（办公楼，CIBSE Guide D / BCO / ISO 8100-32）：HC5% 单租户 ≥15% 多租户 ≥12%；INT ≤30s（优 ≤25s）；AWT ≤30s 可接受 / ≤25s 良 / ≤20s 优（住宅 60–90s 可接受）；ATT 上行峰 ≤80s、午餐峰 ≤100s；装载率 ≤80%。物理参数（EN 81-20 / Guide D）：加速度 0.8–1.5 m/s²（常用默认 0.8）；jerk ≤1.2 m/s³（算例 1.6）；开门 1.5–3.0s（1100mm 中分典型 1.8s）、关门 2.0–4.0s（典型 2.9s）、驻留 2–4s；人均换乘 1.2s；75kg/人、0.21m²/人；速度档 1.0/1.6/2.0/2.5/4.0/6.0 m/s 按行程 20–30s 提升时间选取。客流混合：晨峰 85/10/5，午餐 45/45/10，晚峰约 90–95% 出楼。来源：Peters 3rd Symposium 论文（已核 PDF）、Peters/Smith Elevcon 2010、CIBSE Guide D 转引，低置信数值已在正文标注。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200"/>
      <w:outlineLvl w:val="0"/>
    </w:pPr>
    <w:rPr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2026-07-17T17:39:59.791Z</dcterms:created>
  <dcterms:modified xsi:type="dcterms:W3CDTF">2026-07-17T17:39:59.791Z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