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旅客旅程学习模拟器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类型：需求规划（应然）· 版本 v1.0（2026-08-04）· 对应产品基线 Web v0.10 / 桌面 v0.5.0</w:t>
      </w:r>
    </w:p>
    <w:p>
      <w:pPr>
        <w:shd w:fill="F2F4F7" w:color="auto" w:val="clear"/>
        <w:ind w:left="360"/>
      </w:pPr>
      <w:r>
        <w:rPr>
          <w:color w:val="444444"/>
        </w:rPr>
        <w:t xml:space="preserve">配套文档：《需求规格说明书 v1.0》（现状 FR/NFR/KI 编号均引自该文）、《Gap 分析与演进规划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一句话：从教学任务、品类行规与失效模式正推「这个产品应该是什么」，不从已有功能出发。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p>
      <w:pPr>
        <w:pStyle w:val="Heading3"/>
      </w:pPr>
      <w:r>
        <w:t xml:space="preserve">0.1 与规格说明书的分工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2645"/>
        <w:gridCol w:w="5698"/>
      </w:tblGrid>
      <w:tr>
        <w:trPr>
          <w:tblHeader/>
        </w:trPr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规格说明书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本文（规划）</w:t>
            </w:r>
          </w:p>
        </w:tc>
      </w:tr>
      <w:tr>
        <w:trPr>
          <w:tblHeader w:val="false"/>
        </w:trPr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2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推导方向</w:t>
            </w:r>
          </w:p>
        </w:tc>
        <w:tc>
          <w:tcPr>
            <w:tcW w:type="dxa" w:w="2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2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PR-Px-y（Planned Requirement）</w:t>
            </w:r>
          </w:p>
        </w:tc>
      </w:tr>
      <w:tr>
        <w:trPr>
          <w:tblHeader w:val="false"/>
        </w:trPr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已实现功能</w:t>
            </w:r>
          </w:p>
        </w:tc>
        <w:tc>
          <w:tcPr>
            <w:tcW w:type="dxa" w:w="2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详述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只引 FR 编号，不重复描述</w:t>
            </w:r>
          </w:p>
        </w:tc>
      </w:tr>
    </w:tbl>
    <w:p/>
    <w:p/>
    <w:p>
      <w:pPr>
        <w:pStyle w:val="Heading3"/>
      </w:pPr>
      <w:r>
        <w:t xml:space="preserve">0.2 核心方法论断言</w:t>
      </w:r>
    </w:p>
    <w:p/>
    <w:p>
      <w:r>
        <w:rPr>
          <w:b/>
          <w:bCs/>
        </w:rPr>
        <w:t xml:space="preserve">先写失效清单与验收标准，再写功能描述。</w:t>
      </w:r>
      <w:r>
        <w:t xml:space="preserve">「有术语库」没有信息量；「学员点开的每个缩写都能得到解释，且断网教室里同样成立」才是需求。验收一律破坏性写法：描述如何制造失效，断言正确行为。</w:t>
      </w:r>
    </w:p>
    <w:p/>
    <w:p>
      <w:pPr>
        <w:pStyle w:val="Heading2"/>
      </w:pPr>
      <w:r>
        <w:t xml:space="preserve">1. 需求发现方法论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049"/>
        <w:gridCol w:w="4290"/>
        <w:gridCol w:w="227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任务导向 JTBD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用户「雇」它完成什么任务？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优先级错位、缺失前提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品类规范对标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教学软件行规里做/不做哪些？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失效模式与可观测性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最老设备+真实环境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教室投影/学校电脑预算够吗？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性能与环境欠账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全生命周期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找到→使用→复用→内容更新→退役顺吗？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采用障碍、内容腐化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威胁与滥用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内容被误信/盗用/篡改怎么办？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可信度与授权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20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可测性作为需求</w:t>
            </w:r>
          </w:p>
        </w:tc>
        <w:tc>
          <w:tcPr>
            <w:tcW w:type="dxa" w:w="4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每条需求怎么自动验证？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缺测试夹具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6638"/>
        <w:gridCol w:w="1531"/>
      </w:tblGrid>
      <w:tr>
        <w:trPr>
          <w:tblHeader/>
        </w:trPr>
        <w:tc>
          <w:tcPr>
            <w:tcW w:type="dxa" w:w="1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</w:t>
            </w:r>
          </w:p>
        </w:tc>
        <w:tc>
          <w:tcPr>
            <w:tcW w:type="dxa" w:w="1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雇佣者</w:t>
            </w:r>
          </w:p>
        </w:tc>
      </w:tr>
      <w:tr>
        <w:trPr>
          <w:tblHeader w:val="false"/>
        </w:trPr>
        <w:tc>
          <w:tcPr>
            <w:tcW w:type="dxa" w:w="1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 自学建模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「一小时内，我能自己走完全流程，并说清每一步谁的设备、谁的系统、发了什么报文」</w:t>
            </w:r>
          </w:p>
        </w:tc>
        <w:tc>
          <w:tcPr>
            <w:tcW w:type="dxa" w:w="1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新员工/学生</w:t>
            </w:r>
          </w:p>
        </w:tc>
      </w:tr>
      <w:tr>
        <w:trPr>
          <w:tblHeader w:val="false"/>
        </w:trPr>
        <w:tc>
          <w:tcPr>
            <w:tcW w:type="dxa" w:w="1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课堂演示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「投屏上按我预设的路径自动走一遍，中途能随时暂停深挖某个术语」</w:t>
            </w:r>
          </w:p>
        </w:tc>
        <w:tc>
          <w:tcPr>
            <w:tcW w:type="dxa" w:w="1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讲师</w:t>
            </w:r>
          </w:p>
        </w:tc>
      </w:tr>
      <w:tr>
        <w:trPr>
          <w:tblHeader w:val="false"/>
        </w:trPr>
        <w:tc>
          <w:tcPr>
            <w:tcW w:type="dxa" w:w="1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T3 专业查阅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「查某个系统的厂商格局、部署方式和按旅客量的 ICT 量级，拿去写方案」</w:t>
            </w:r>
          </w:p>
        </w:tc>
        <w:tc>
          <w:tcPr>
            <w:tcW w:type="dxa" w:w="1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民航 IT 从业者</w:t>
            </w:r>
          </w:p>
        </w:tc>
      </w:tr>
      <w:tr>
        <w:trPr>
          <w:tblHeader w:val="false"/>
        </w:trPr>
        <w:tc>
          <w:tcPr>
            <w:tcW w:type="dxa" w:w="1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T4 离线部署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「无外网教室装上就能用，全部功能不打折」</w:t>
            </w:r>
          </w:p>
        </w:tc>
        <w:tc>
          <w:tcPr>
            <w:tcW w:type="dxa" w:w="1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内训管理员</w:t>
            </w:r>
          </w:p>
        </w:tc>
      </w:tr>
    </w:tbl>
    <w:p/>
    <w:p/>
    <w:p>
      <w:pPr>
        <w:pStyle w:val="Heading3"/>
      </w:pPr>
      <w:r>
        <w:t xml:space="preserve">2.2 成功条件拆解</w:t>
      </w:r>
    </w:p>
    <w:p/>
    <w:p>
      <w:r>
        <w:rPr>
          <w:b/>
          <w:bCs/>
        </w:rPr>
        <w:t xml:space="preserve">T1 自学建模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565"/>
        <w:gridCol w:w="3715"/>
      </w:tblGrid>
      <w:tr>
        <w:trPr>
          <w:tblHeader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打开即可用，无环境要求说明书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浏览器直开；异常（WebGL/CDN）有人话提示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正常路径 ✅，异常白屏（KI-1/KI-3）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每个不认识的词点开就有解释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术语链接全覆盖 + 开关式知识窗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FR-3.3/3.5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走错/乱点不会卡死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任意跳步可恢复；分支失效自动清理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FR-1.5/2.8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学完能自检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完成窗自测题 → 可评分的考核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 5 道静态自测（FR-1.7），无评分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中断后可继续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会话恢复</w:t>
            </w:r>
          </w:p>
        </w:tc>
        <w:tc>
          <w:tcPr>
            <w:tcW w:type="dxa" w:w="3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刷新即丢（KI-7）</w:t>
            </w:r>
          </w:p>
        </w:tc>
      </w:tr>
    </w:tbl>
    <w:p/>
    <w:p/>
    <w:p>
      <w:r>
        <w:rPr>
          <w:b/>
          <w:bCs/>
        </w:rPr>
        <w:t xml:space="preserve">T2 课堂演示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2496"/>
        <w:gridCol w:w="5200"/>
      </w:tblGrid>
      <w:tr>
        <w:trPr>
          <w:tblHeader/>
        </w:trPr>
        <w:tc>
          <w:tcPr>
            <w:tcW w:type="dxa" w:w="16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课前可预设路径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默认路径配置持久化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FR-5.4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演示节奏可控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自动播放可暂停/变速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可暂停；</w:t>
            </w:r>
            <w:r>
              <w:rPr>
                <w:b/>
                <w:bCs/>
              </w:rPr>
              <w:t xml:space="preserve">无速度调节</w:t>
            </w:r>
            <w:r>
              <w:t xml:space="preserve">，节拍固定 STEP_MS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投影可读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大屏字号/对比度模式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无演示模式（字号偏小 9.5–13px）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激光笔之外的指引</w:t>
            </w:r>
          </w:p>
        </w:tc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标注牌 + 高亮圈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FR-2.5/2.2</w:t>
            </w:r>
          </w:p>
        </w:tc>
      </w:tr>
    </w:tbl>
    <w:p/>
    <w:p/>
    <w:p>
      <w:r>
        <w:rPr>
          <w:b/>
          <w:bCs/>
        </w:rPr>
        <w:t xml:space="preserve">T3 专业查阅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3744"/>
        <w:gridCol w:w="3120"/>
      </w:tblGrid>
      <w:tr>
        <w:trPr>
          <w:tblHeader/>
        </w:trPr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找得到（不是走流程碰到）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全局搜索：输名字直达系统/术语/报文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无搜索，只能靠全景窗滚动找</w:t>
            </w:r>
          </w:p>
        </w:tc>
      </w:tr>
      <w:tr>
        <w:trPr>
          <w:tblHeader w:val="false"/>
        </w:trPr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结论可带走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知识窗内容可复制/导出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文字可选中；无导出</w:t>
            </w:r>
          </w:p>
        </w:tc>
      </w:tr>
      <w:tr>
        <w:trPr>
          <w:tblHeader w:val="false"/>
        </w:trPr>
        <w:tc>
          <w:tcPr>
            <w:tcW w:type="dxa" w:w="2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数据可信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口径出处（洞察报告）可追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C-7</w:t>
            </w:r>
          </w:p>
        </w:tc>
      </w:tr>
    </w:tbl>
    <w:p/>
    <w:p/>
    <w:p>
      <w:r>
        <w:rPr>
          <w:b/>
          <w:bCs/>
        </w:rPr>
        <w:t xml:space="preserve">T4 离线部署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2582"/>
        <w:gridCol w:w="4519"/>
      </w:tblGrid>
      <w:tr>
        <w:trPr>
          <w:tblHeader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装上即用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桌面包完全离线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FR-7.2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功能与线上一致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桌面版本追平机制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落后 5 版（KI-2）</w:t>
            </w:r>
          </w:p>
        </w:tc>
      </w:tr>
      <w:tr>
        <w:trPr>
          <w:tblHeader w:val="false"/>
        </w:trPr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更新可获知</w:t>
            </w:r>
          </w:p>
        </w:tc>
        <w:tc>
          <w:tcPr>
            <w:tcW w:type="dxa" w:w="25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版本检查/提示</w:t>
            </w:r>
          </w:p>
        </w:tc>
        <w:tc>
          <w:tcPr>
            <w:tcW w:type="dxa" w:w="4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无（平台差异表）</w:t>
            </w:r>
          </w:p>
        </w:tc>
      </w:tr>
    </w:tbl>
    <w:p/>
    <w:p/>
    <w:p>
      <w:pPr>
        <w:pStyle w:val="Heading3"/>
      </w:pPr>
      <w:r>
        <w:t xml:space="preserve">2.3 优先级纠偏结论</w:t>
      </w:r>
    </w:p>
    <w:p/>
    <w:p>
      <w:r>
        <w:t xml:space="preserve">JTBD 检验暴露两处错位：① </w:t>
      </w:r>
      <w:r>
        <w:rPr>
          <w:b/>
          <w:bCs/>
        </w:rPr>
        <w:t xml:space="preserve">失败可见性不是打磨项而是 T1 的前提</w:t>
      </w:r>
      <w:r>
        <w:t xml:space="preserve">——「打开即可用」在 CDN 不可达/无 WebGL 的教室直接不成立，应为 P0；② </w:t>
      </w:r>
      <w:r>
        <w:rPr>
          <w:b/>
          <w:bCs/>
        </w:rPr>
        <w:t xml:space="preserve">全局搜索不是增强而是 T3 的前提</w:t>
      </w:r>
      <w:r>
        <w:t xml:space="preserve">——99 个系统靠滚动查找，T3 用户第一次使用即受挫，应为 P1 上限、接近 P0。反之「到达侧旅程」虽显眼，但不阻断任何现有任务，维持 P2。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品类：</w:t>
      </w:r>
      <w:r>
        <w:rPr>
          <w:b/>
          <w:bCs/>
        </w:rPr>
        <w:t xml:space="preserve">交互式教学模拟器（Web 3D）</w:t>
      </w:r>
      <w:r>
        <w:t xml:space="preserve">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4"/>
        <w:gridCol w:w="1397"/>
        <w:gridCol w:w="977"/>
        <w:gridCol w:w="4612"/>
      </w:tblGrid>
      <w:tr>
        <w:trPr>
          <w:tblHeader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内容检索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做（PR-P1-1）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进度保存/续学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标配（LMS 类）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做轻量版：本地续学（PR-P1-4）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考核与评分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静态自测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做（PR-P2-1）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演示模式（大字/高对比）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做（PR-P1-5）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加载失败/环境不符提示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做（PR-P0-1/2）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可访问性基线（键盘/读屏/降动效）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标配（教育采购门槛）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❌（KI-5）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做基线子集（PR-P1-6）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多语言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中/EN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离线/桌面分发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三件套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保持，补追平机制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SCORM/xAPI 对接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显式不做</w:t>
            </w:r>
            <w:r>
              <w:t xml:space="preserve">：无 LMS 集成诉求，成本高收益低；若企业内训提出再评估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多人协同/教师端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显式不做</w:t>
            </w:r>
            <w:r>
              <w:t xml:space="preserve">：单机教学定位</w:t>
            </w:r>
          </w:p>
        </w:tc>
      </w:tr>
      <w:tr>
        <w:trPr>
          <w:tblHeader w:val="false"/>
        </w:trPr>
        <w:tc>
          <w:tcPr>
            <w:tcW w:type="dxa" w:w="2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内容编辑器（CMS）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显式不做</w:t>
            </w:r>
            <w:r>
              <w:t xml:space="preserve">：内容即代码（C-1/C-7），由 docs 报告驱动更新</w:t>
            </w:r>
          </w:p>
        </w:tc>
      </w:tr>
    </w:tbl>
    <w:p/>
    <w:p/>
    <w:p>
      <w:r>
        <w:t xml:space="preserve">对标结论：与「合格教学模拟器」的门槛差距集中在</w:t>
      </w:r>
      <w:r>
        <w:rPr>
          <w:b/>
          <w:bCs/>
        </w:rPr>
        <w:t xml:space="preserve">失败可见性、检索、演示模式、a11y 基线</w:t>
      </w:r>
      <w:r>
        <w:t xml:space="preserve">四项；第一屏硬伤是失败可见性。</w:t>
      </w:r>
    </w:p>
    <w:p/>
    <w:p>
      <w:pPr>
        <w:pStyle w:val="Heading2"/>
      </w:pPr>
      <w:r>
        <w:t xml:space="preserve">4. 场景与环境分析（D4）</w:t>
      </w:r>
    </w:p>
    <w:p/>
    <w:p>
      <w:r>
        <w:t xml:space="preserve">设计基准环境（比开发机差得多）：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044"/>
        <w:gridCol w:w="4276"/>
      </w:tblGrid>
      <w:tr>
        <w:trPr>
          <w:tblHeader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</w:t>
            </w:r>
          </w:p>
        </w:tc>
        <w:tc>
          <w:tcPr>
            <w:tcW w:type="dxa" w:w="4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现实</w:t>
            </w:r>
          </w:p>
        </w:tc>
        <w:tc>
          <w:tcPr>
            <w:tcW w:type="dxa" w:w="4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学校/企业教室电脑</w:t>
            </w:r>
          </w:p>
        </w:tc>
        <w:tc>
          <w:tcPr>
            <w:tcW w:type="dxa" w:w="4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集显、1366×768、旧 Chrome/Edge、可能禁 WebGL</w:t>
            </w:r>
          </w:p>
        </w:tc>
        <w:tc>
          <w:tcPr>
            <w:tcW w:type="dxa" w:w="4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WebGL 检测与人话提示（PR-P0-2）；1366 已在布局验收档 ✅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内网/弱网</w:t>
            </w:r>
          </w:p>
        </w:tc>
        <w:tc>
          <w:tcPr>
            <w:tcW w:type="dxa" w:w="4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jsdelivr 被墙或抽风</w:t>
            </w:r>
          </w:p>
        </w:tc>
        <w:tc>
          <w:tcPr>
            <w:tcW w:type="dxa" w:w="4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版 CDN 兜底（PR-P0-1）；桌面版 ✅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投影仪</w:t>
            </w:r>
          </w:p>
        </w:tc>
        <w:tc>
          <w:tcPr>
            <w:tcW w:type="dxa" w:w="4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低对比、1024/1280 宽</w:t>
            </w:r>
          </w:p>
        </w:tc>
        <w:tc>
          <w:tcPr>
            <w:tcW w:type="dxa" w:w="4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演示模式（PR-P1-5）；&lt;1180 断点已有 ⚠️ 需实测 1024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学员手机</w:t>
            </w:r>
          </w:p>
        </w:tc>
        <w:tc>
          <w:tcPr>
            <w:tcW w:type="dxa" w:w="4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竖屏触屏</w:t>
            </w:r>
          </w:p>
        </w:tc>
        <w:tc>
          <w:tcPr>
            <w:tcW w:type="dxa" w:w="4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触屏专项（PR-P2-3，非基准仅兜底）</w:t>
            </w:r>
          </w:p>
        </w:tc>
      </w:tr>
    </w:tbl>
    <w:p/>
    <w:p/>
    <w:p>
      <w:r>
        <w:t xml:space="preserve">预算表（现状实测口径）：场景约 10 万三角形、单 rAF、DPR≤2——集显 1080p 预期可 30fps+，但</w:t>
      </w:r>
      <w:r>
        <w:rPr>
          <w:b/>
          <w:bCs/>
        </w:rPr>
        <w:t xml:space="preserve">无任何降级档</w:t>
      </w:r>
      <w:r>
        <w:t xml:space="preserve">（关阴影/减人群/降 DPR），列为 PR-P2-4。</w:t>
      </w:r>
    </w:p>
    <w:p/>
    <w:p>
      <w:pPr>
        <w:pStyle w:val="Heading2"/>
      </w:pPr>
      <w:r>
        <w:t xml:space="preserve">5. 失效模式与可观测性（D3）</w:t>
      </w:r>
    </w:p>
    <w:p/>
    <w:p>
      <w:r>
        <w:t xml:space="preserve">FMEA-lite（核心问：用户当下察觉得到吗）：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4"/>
        <w:gridCol w:w="1787"/>
        <w:gridCol w:w="1156"/>
        <w:gridCol w:w="3683"/>
      </w:tblGrid>
      <w:tr>
        <w:trPr>
          <w:tblHeader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不可达 → importmap 解析失败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白屏，无任何文字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教室现场翻车，归因困难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WebGL 不可用/被禁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黑视口，UI 正常更像 bug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WebGL context lost（集显休眠恢复）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画面冻结，UI 活着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讲师中途翻车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版本戳忘盖 → 新旧模块混装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可能只是某窗行为怪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线上难排查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PR-P1-7（发布校验脚本自动比对线上 ?v=）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被禁（隐私模式）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偏好静默不存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轻微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接受（7 处 try/catch 已兜）记录于非目标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桌面包与 Web 功能漂移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用户以为是全部功能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内训内容缺失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PR-P1-3（版本水印+追平流程）</w:t>
            </w:r>
          </w:p>
        </w:tc>
      </w:tr>
      <w:tr>
        <w:trPr>
          <w:tblHeader w:val="false"/>
        </w:trPr>
        <w:tc>
          <w:tcPr>
            <w:tcW w:type="dxa" w:w="27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数据字典引用断裂（新增系统漏建词条）</w:t>
            </w:r>
          </w:p>
        </w:tc>
        <w:tc>
          <w:tcPr>
            <w:tcW w:type="dxa" w:w="17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链接不生效或空窗</w:t>
            </w:r>
          </w:p>
        </w:tc>
        <w:tc>
          <w:tcPr>
            <w:tcW w:type="dxa" w:w="11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内容腐化</w:t>
            </w:r>
          </w:p>
        </w:tc>
        <w:tc>
          <w:tcPr>
            <w:tcW w:type="dxa" w:w="36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PR-P1-2（数据契约自检：missingIds 类检查纳入 CI）</w:t>
            </w:r>
          </w:p>
        </w:tc>
      </w:tr>
    </w:tbl>
    <w:p/>
    <w:p/>
    <w:p>
      <w:r>
        <w:t xml:space="preserve">派生「健康自检」类需求：启动自检（WebGL/模块加载/数据完整性三查，任一失败给双语可读提示 + 排障建议），是本轮规划最重要的新增类别。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791"/>
        <w:gridCol w:w="4271"/>
        <w:gridCol w:w="1477"/>
      </w:tblGrid>
      <w:tr>
        <w:trPr>
          <w:tblHeader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发现/进入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主页卡片 + 直链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meta description 有；无 og 卡片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首次使用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直接进第 1 步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30 秒引导（三块屏各是什么）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日常使用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流畅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中断不可续（KI-7）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内容更新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 data/ 字典 → 盖戳发版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无契约校验，靠人肉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桌面更新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手动下载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无版本提示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</w:t>
            </w:r>
          </w:p>
        </w:tc>
        <w:tc>
          <w:tcPr>
            <w:tcW w:type="dxa" w:w="2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2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下载页/安装包无下线流程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暂不需要，记录即可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872"/>
        <w:gridCol w:w="1287"/>
        <w:gridCol w:w="4797"/>
      </w:tblGrid>
      <w:tr>
        <w:trPr>
          <w:tblHeader/>
        </w:trP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4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教学内容可信度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口径过时被当权威引用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C-7 单一来源</w:t>
            </w:r>
          </w:p>
        </w:tc>
        <w:tc>
          <w:tcPr>
            <w:tcW w:type="dxa" w:w="4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页面无「内容基线日期」标识 → 并入 PR-P1-3 版本水印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桌面安装包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第三方转载篡改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下载页 SHA-256</w:t>
            </w:r>
          </w:p>
        </w:tc>
        <w:tc>
          <w:tcPr>
            <w:tcW w:type="dxa" w:w="4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未签名（FR-7.4）；签名列入非目标（成本），SHA-256 校验说明已达最低线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域名/托管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投毒（jsdelivr）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锁版本号</w:t>
            </w:r>
          </w:p>
        </w:tc>
        <w:tc>
          <w:tcPr>
            <w:tcW w:type="dxa" w:w="4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SRI；随 PR-P0-1 vendor 化后自然消除</w:t>
            </w:r>
          </w:p>
        </w:tc>
      </w:tr>
      <w:tr>
        <w:trPr>
          <w:tblHeader w:val="false"/>
        </w:trP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无敏感数据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键偏好</w:t>
            </w:r>
          </w:p>
        </w:tc>
        <w:tc>
          <w:tcPr>
            <w:tcW w:type="dxa" w:w="47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无缺口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 = 阻断核心任务或品类硬伤；P1 = 健壮性/门槛；P2 = 增强；P3 = 锦上添花。已实现项引 FR 呈现全景。</w:t>
      </w:r>
    </w:p>
    <w:p/>
    <w:p>
      <w:pPr>
        <w:pStyle w:val="Heading3"/>
      </w:pPr>
      <w:r>
        <w:t xml:space="preserve">P0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6247"/>
        <w:gridCol w:w="1596"/>
        <w:gridCol w:w="748"/>
      </w:tblGrid>
      <w:tr>
        <w:trPr>
          <w:tblHeader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版运行不依赖第三方 CDN：three/字体 vendor 化（与桌面 build 同源方案），或至少加载失败 8 秒内给出双语提示与桌面版指引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D1-T1 / D3 / 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启动健康自检：WebGL2 可用性检测、context lost 恢复提示、模块加载失败兜底页——三类失败都必须"有人话可读"，绝不白屏/黑屏/冻结无言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D1-T1 / D3 / 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3"/>
      </w:pPr>
      <w:r>
        <w:t xml:space="preserve">P1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6247"/>
        <w:gridCol w:w="1596"/>
        <w:gridCol w:w="748"/>
      </w:tblGrid>
      <w:tr>
        <w:trPr>
          <w:tblHeader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全局搜索：一个输入框检索 99 系统 + 53 术语 + 21 报文 + 8 域（利用现有 344 别名索引），回车直达知识窗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D1-T3 / 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数据契约自检并入发布流程：landscape.missingIds()=0、全部 flows 的 from/to/msg 可解析、EN 字段无缺漏、别名索引无冲突——脚本化，失败即阻断发版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/ 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版本可见与桌面追平：页面角落显示版本+内容基线日期；桌面包启动时对比线上版本提示更新；建立「Web 累积 ≥2 版即重打桌面包」惯例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/ D5 / 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本地续学：choices/stepIndex/开关 持久化，刷新后提示「继续上次(第 N 步) / 重新开始」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D1-T1 / 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演示模式：一键放大字号(≥1.25×)、提高对比、隐藏非当前窗，供投影使用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D1-T2 / D2 / 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无障碍基线：浮窗 role=dialog 与焦点循环、全部按钮 aria-label、prefers-reduced-motion 关闭脉动/光点动画、Esc 关闭最上层窗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6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发布校验脚本：发版后自动抓线上 index.html 比对 ?v= 一致性 + 抽查 3 个模块 200，防「忘盖戳/半发布」</w:t>
            </w:r>
          </w:p>
        </w:tc>
        <w:tc>
          <w:tcPr>
            <w:tcW w:type="dxa" w:w="1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/ 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3"/>
      </w:pPr>
      <w:r>
        <w:t xml:space="preserve">P2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3"/>
        <w:gridCol w:w="6314"/>
        <w:gridCol w:w="1345"/>
        <w:gridCol w:w="748"/>
      </w:tblGrid>
      <w:tr>
        <w:trPr>
          <w:tblHeader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考核模式：题库按知识卡生成（谁的设备/哪条报文/哪个域），走完出分与错题回看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D1-T1 / 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首次进入 30 秒引导：三块屏定位 + 悬浮球手势说明（可跳过，localStorage 记忆）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触屏专项：分支卡/术语链接/浮窗拖拽的触屏验证与修正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性能降级档：低端机自动或手动降 DPR/人群数量/灯光数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到达侧旅程：落地→廊桥/摆渡→边检→提取(转盘+Res753节点④)→海关→陆侧离场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扩展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6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报文↔3D 联动强化：链路条光点流动时对应 3D 设备同步闪烁</w:t>
            </w:r>
          </w:p>
        </w:tc>
        <w:tc>
          <w:tcPr>
            <w:tcW w:type="dxa" w:w="13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教学价值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3"/>
      </w:pPr>
      <w:r>
        <w:t xml:space="preserve">P3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5460"/>
        <w:gridCol w:w="1300"/>
        <w:gridCol w:w="780"/>
      </w:tblGrid>
      <w:tr>
        <w:trPr>
          <w:tblHeader/>
        </w:trPr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og/twitter 分享卡片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中转旅程（MCT/BTM）与不正常航班场景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扩展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知识窗导出（复制为 Markdown）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3"/>
      </w:pPr>
      <w:r>
        <w:t xml:space="preserve">已实现全景（引用）</w:t>
      </w:r>
    </w:p>
    <w:p/>
    <w:p>
      <w:r>
        <w:t xml:space="preserve">核心教学闭环 FR-1～FR-6 与桌面分发 FR-7、发布流水线 FR-8 已达成，详见规格说明书；本表不重复。</w:t>
      </w:r>
    </w:p>
    <w:p/>
    <w:p>
      <w:pPr>
        <w:pStyle w:val="Heading2"/>
      </w:pPr>
      <w:r>
        <w:t xml:space="preserve">9. P0 缺口专项</w:t>
      </w:r>
    </w:p>
    <w:p/>
    <w:p>
      <w:pPr>
        <w:pStyle w:val="Heading3"/>
      </w:pPr>
      <w:r>
        <w:t xml:space="preserve">PR-P0-1 CDN 独立性（品类级硬伤之一）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任务影响：T1「打开即可用」与 T2 课堂演示在受限网络直接不成立；这是「叫不叫得上可部署教学软件」的门槛。</w:t>
      </w:r>
    </w:p>
    <w:p>
      <w:pPr>
        <w:pStyle w:val="ListParagraph"/>
        <w:numPr>
          <w:ilvl w:val="0"/>
          <w:numId w:val="2"/>
        </w:numPr>
      </w:pPr>
      <w:r>
        <w:t xml:space="preserve">方案概要：复用 desktop/build-app.mjs 的 vendor 化逻辑到 Web 构建——scripts/vendorize.mjs 生成 vendor/ 并改写 importmap；字体退化为系统栈（与桌面一致）。不引入打包器，保持 C-1/C-3。</w:t>
      </w:r>
    </w:p>
    <w:p>
      <w:pPr>
        <w:pStyle w:val="ListParagraph"/>
        <w:numPr>
          <w:ilvl w:val="0"/>
          <w:numId w:val="2"/>
        </w:numPr>
      </w:pPr>
      <w:r>
        <w:t xml:space="preserve">破坏性验收：断开外网（或 hosts 屏蔽 jsdelivr）加载线上包，</w:t>
      </w:r>
      <w:r>
        <w:rPr>
          <w:b/>
          <w:bCs/>
        </w:rPr>
        <w:t xml:space="preserve">3D 与全部知识功能照常</w:t>
      </w:r>
      <w:r>
        <w:t xml:space="preserve">；故意保留 CDN 模式时，断网加载 8 秒内出现双语失败提示并给出桌面版链接，绝不白屏。</w:t>
      </w:r>
    </w:p>
    <w:p>
      <w:pPr>
        <w:pStyle w:val="ListParagraph"/>
        <w:numPr>
          <w:ilvl w:val="0"/>
          <w:numId w:val="2"/>
        </w:numPr>
      </w:pPr>
      <w:r>
        <w:t xml:space="preserve">量级：小（脚本已有 80% 逻辑）；一次发版周期。</w:t>
      </w:r>
    </w:p>
    <w:p/>
    <w:p>
      <w:pPr>
        <w:pStyle w:val="Heading3"/>
      </w:pPr>
      <w:r>
        <w:t xml:space="preserve">PR-P0-2 启动健康自检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任务影响：无 WebGL 的教室机上目前是黑视口+活 UI，用户归因为「产品坏了」。</w:t>
      </w:r>
    </w:p>
    <w:p>
      <w:pPr>
        <w:pStyle w:val="ListParagraph"/>
        <w:numPr>
          <w:ilvl w:val="0"/>
          <w:numId w:val="2"/>
        </w:numPr>
      </w:pPr>
      <w:r>
        <w:t xml:space="preserve">方案概要：main.js 启动序列前置三查——WebGL2 create 探测、关键模块 onerror 捕获、数据字典完整性（missingIds、报文引用解析）；任一失败渲染独立兜底层（纯 DOM，双语，含环境要求与桌面版指引）；renderer 挂 webglcontextlost/restored，lost 时全屏提示。</w:t>
      </w:r>
    </w:p>
    <w:p>
      <w:pPr>
        <w:pStyle w:val="ListParagraph"/>
        <w:numPr>
          <w:ilvl w:val="0"/>
          <w:numId w:val="2"/>
        </w:numPr>
      </w:pPr>
      <w:r>
        <w:t xml:space="preserve">破坏性验收：① chrome://flags 禁 WebGL 打开 → 3 秒内出现「需要 WebGL2」双语提示页；② 运行中模拟 context lost（扩展或 loseContext 扩展调用）→ 出现「显卡上下文丢失，请刷新」浮层，UI 不再假装正常；③ 删除任一 data 词条造成引用断裂 → 发布脚本报错阻断（联动 PR-P1-2）。</w:t>
      </w:r>
    </w:p>
    <w:p>
      <w:pPr>
        <w:pStyle w:val="ListParagraph"/>
        <w:numPr>
          <w:ilvl w:val="0"/>
          <w:numId w:val="2"/>
        </w:numPr>
      </w:pPr>
      <w:r>
        <w:t xml:space="preserve">量级：小到中；一次发版周期。</w:t>
      </w:r>
    </w:p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117"/>
        <w:gridCol w:w="2553"/>
        <w:gridCol w:w="494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稳定性收口（先行）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PR-P0-1/2 + PR-P1-2/7</w:t>
            </w:r>
          </w:p>
        </w:tc>
        <w:tc>
          <w:tcPr>
            <w:tcW w:type="dxa" w:w="4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两条 P0 破坏性验收全过；发布脚本上线并在一次真实发版中拦截过一次人为错误注入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门槛补齐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PR-P1-1/3/4/5/6</w:t>
            </w:r>
          </w:p>
        </w:tc>
        <w:tc>
          <w:tcPr>
            <w:tcW w:type="dxa" w:w="4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搜索直达任一节点 ≤3 秒；桌面包追平当时 Web 版本；a11y 基线自查单全绿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教学增强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PR-P2-1/2/6</w:t>
            </w:r>
          </w:p>
        </w:tc>
        <w:tc>
          <w:tcPr>
            <w:tcW w:type="dxa" w:w="4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考核模式 10 题成卷可出分；新用户引导完成率可观测（本地统计）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内容扩展</w:t>
            </w:r>
          </w:p>
        </w:tc>
        <w:tc>
          <w:tcPr>
            <w:tcW w:type="dxa" w:w="25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 → PR-P3-2</w:t>
            </w:r>
          </w:p>
        </w:tc>
        <w:tc>
          <w:tcPr>
            <w:tcW w:type="dxa" w:w="4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到达侧 6 步可走通并复用现有知识体系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可测性夹具需求：① 数据契约校验脚本（纯 node，无浏览器）；② 无头冒烟复用 __pax.pump 与 getAnimations().finish() 两个既有钩子——把本会话人肉验证流程固化成脚本；③ 布局验收（三档零重叠）脚本化。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破坏性验收写法示范见 §9；每条 PR 关闭以其破坏性验收通过为准，代码合入不算（与 Gap 文档口径一致）。</w:t>
      </w:r>
    </w:p>
    <w:p>
      <w:pPr>
        <w:pStyle w:val="ListParagraph"/>
        <w:numPr>
          <w:ilvl w:val="0"/>
          <w:numId w:val="2"/>
        </w:numPr>
      </w:pPr>
      <w:r>
        <w:t xml:space="preserve">现有质量手段（规格 §10.1）定位为兜底而非替代：截图人验不追溯、不回归。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6039"/>
      </w:tblGrid>
      <w:tr>
        <w:trPr>
          <w:tblHeader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SCORM/xAPI、LMS 集成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单机教学定位；无采购诉求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多人协同/教师端管理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 CMS/编辑器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内容即代码（C-1/C-7），报告驱动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代码签名（现阶段）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需付费开发者账号；SHA-256+绕行说明已达测试分发最低线；若进企业分发再启动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手机作为一等平台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三屏信息密度天然不适配小屏；仅保兜底可用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被禁时的偏好持久化</w:t>
            </w:r>
          </w:p>
        </w:tc>
        <w:tc>
          <w:tcPr>
            <w:tcW w:type="dxa" w:w="6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静默降级可接受，页面功能不受影响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773"/>
        <w:gridCol w:w="1040"/>
        <w:gridCol w:w="1040"/>
        <w:gridCol w:w="1040"/>
      </w:tblGrid>
      <w:tr>
        <w:trPr>
          <w:tblHeader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D1/D3/D6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D1/D3/D2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D3/D5/D6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待排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待排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待排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沿用规格说明书 §1.3 与产品内术语库，不重复。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2026-08-04T18:33:28.756Z</dcterms:created>
  <dcterms:modified xsi:type="dcterms:W3CDTF">2026-08-04T18:33:28.756Z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