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统一黑底），输出到原目录（文件名加后缀）或统一的新目录，原文件只读、同名自动加序号，结果记入转换历史；运行日志支持导出（有筛选时导出当前显示的日志，否则导出完整日志文件）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0.18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运行日志要允许导出（v3.0.0）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 → 运行日志、任务详情 → 运行日志：</w:t>
            </w:r>
            <w:r>
              <w:t xml:space="preserve">“</w:t>
            </w:r>
            <w:r>
              <w:t xml:space="preserve">⇩ 导出日志</w:t>
            </w:r>
            <w:r>
              <w:t xml:space="preserve">”</w:t>
            </w:r>
            <w:r>
              <w:t xml:space="preserve">保存为 .log（UTF-8，可用记事本打开）；带筛选时导出筛选结果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2026-10-22T10:04:51Z</dcterms:created>
  <dcterms:modified xsi:type="dcterms:W3CDTF">2026-10-22T10:04:51Z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v3.0.0</vt:lpwstr>
  </property>
</Properties>
</file>