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Write-capable Codex fallbacks use the launcher-configured Windows-backed root exposed in WSL as:</w:t>
      </w:r>
    </w:p>
    <w:p>
      <w:r>
        <w:t>/mnt/c/Users/&lt;Windows user&gt;/Documents/Codex/WesnothAgentWorktrees/</w:t>
      </w:r>
    </w:p>
    <w:p>
      <w:r>
        <w:t>Workers operate only inside their assigned worktree. The coordinator continues to inventory the former ~/projects/wesnoth-starwars-worktrees/ root so unfinished tickets are not abandoned. On exact-branch resumption it moves the registered worktree to the Windows-backed root. If a cross-filesystem move is unavailable, Python may recreate only an unchanged clean worktree at the exact existing branch; dirty remnants are preserved and processing stops rather than discarding work.</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Current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OpenAI Codex - `gpt-5.6-terra` at medium reasoning; one fallback: `gpt-5.6-luna` at low reasoning</w:t>
            </w:r>
          </w:p>
        </w:tc>
        <w:tc>
          <w:tcPr>
            <w:tcW w:type="dxa" w:w="3331"/>
          </w:tcPr>
          <w:p>
            <w:r>
              <w:t>Main bounded implementation work</w:t>
            </w:r>
          </w:p>
        </w:tc>
      </w:tr>
      <w:tr>
        <w:tc>
          <w:tcPr>
            <w:tcW w:type="dxa" w:w="3331"/>
          </w:tcPr>
          <w:p>
            <w:r>
              <w:t>Fast fix</w:t>
            </w:r>
          </w:p>
        </w:tc>
        <w:tc>
          <w:tcPr>
            <w:tcW w:type="dxa" w:w="3331"/>
          </w:tcPr>
          <w:p>
            <w:r>
              <w:t>OpenAI Codex - `gpt-5.6-luna` at medium reasoning; one fallback: `gpt-5.6-luna` at low reasoning</w:t>
            </w:r>
          </w:p>
        </w:tc>
        <w:tc>
          <w:tcPr>
            <w:tcW w:type="dxa" w:w="3331"/>
          </w:tcPr>
          <w:p>
            <w:r>
              <w:t>Small mechanical corrections</w:t>
            </w:r>
          </w:p>
        </w:tc>
      </w:tr>
      <w:tr>
        <w:tc>
          <w:tcPr>
            <w:tcW w:type="dxa" w:w="3331"/>
          </w:tcPr>
          <w:p>
            <w:r>
              <w:t>Tester</w:t>
            </w:r>
          </w:p>
        </w:tc>
        <w:tc>
          <w:tcPr>
            <w:tcW w:type="dxa" w:w="3331"/>
          </w:tcPr>
          <w:p>
            <w:r>
              <w:t>OpenAI Codex - `gpt-5.6-luna` at medium reasoning; one fallback: `gpt-5.6-luna` at low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Reviewer fallback</w:t>
            </w:r>
          </w:p>
        </w:tc>
        <w:tc>
          <w:tcPr>
            <w:tcW w:type="dxa" w:w="3331"/>
          </w:tcPr>
          <w:p>
            <w:r>
              <w:t>OpenAI Codex - `gpt-5.6-luna` at low reasoning</w:t>
            </w:r>
          </w:p>
        </w:tc>
        <w:tc>
          <w:tcPr>
            <w:tcW w:type="dxa" w:w="3331"/>
          </w:tcPr>
          <w:p>
            <w:r>
              <w:t>Only when Nemotron is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Terra Medium is the primary implementation model. Luna Medium is used for bounded Fast-Fix and independent Tester work; deterministic validation remains model-free.</w:t>
      </w:r>
    </w:p>
    <w:p>
      <w:pPr>
        <w:pStyle w:val="ListBullet"/>
      </w:pPr>
      <w:r>
        <w:t>When an Implementer, Fast-Fix, Tester, or Reviewer invocation is unavailable or non-decisive, the coordinator may invoke exactly one GPT-5.6 Luna Light fallback for that same stage. A substantive FAIL or REQUEST_CHANGES is authoritative and must not be bypassed. Write-capable Terra and Luna calls use the Codex CLI's auto-reviewed write path from a native Windows-backed worktree, disabled web search, an ephemeral session, a credential-stripped environment, the original objective, and the original allowed-path boundary. They may not test, commit, merge, push, delete, or broaden scope.</w:t>
      </w:r>
    </w:p>
    <w:p>
      <w:pPr>
        <w:pStyle w:val="ListBullet"/>
      </w:pPr>
      <w:r>
        <w:t>Codex 0.153.4 reports sandbox: read-only for its base command sandbox even when --approve-for-me is active and approved patches are applied through automatic review. Python therefore requires a native drive-letter worktree, invokes --approve-for-me without the incompatible explicit --sandbox workspace-write option, requires approval: on-request transcript evidence, and then relies on the process result plus deterministic Git diff, scope, protected-path, validation, tester, and reviewer gates. A UNC or WSL-only worktree, missing approval evidence, or unsupported sandbox report is a local infrastructure hard stop. It must not be recorded as a provider failure or open Terra's two-run provider circuit.</w:t>
      </w:r>
    </w:p>
    <w:p>
      <w:pPr>
        <w:pStyle w:val="ListBullet"/>
      </w:pPr>
      <w:r>
        <w:t>A failed Luna Light fallback is an immediate provider/worker hard stop and does not consume either of the two bounded code-recovery attempts. If a worker produces a candidate but a later deterministic, test, or review gate fails, the normal bounded recovery policy applies.</w:t>
      </w:r>
    </w:p>
    <w:p>
      <w:pPr>
        <w:pStyle w:val="ListBullet"/>
      </w:pPr>
      <w:r>
        <w:t>The Tester uses Luna Medium in a read-only sandbox and may use Luna Light once when unavailable or non-decisive. A substantive tester FAIL remains authoritative and must not be bypassed. The Reviewer uses independent Nemotron first and may use Luna Light once only for an unavailable or non-decisive primary review.</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Nemotron 3 120B is the independent primary reviewer. Luna Light is its only configured fallback; unavailable legacy Google routes are not used in unattended review.</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r>
        <w:t>The dashboard planned-ticket selector is a live rolling view derived from the coordinator's validated planning inventory. It contains pending static and generated tickets only, refreshes while the dashboard is open, and removes a ticket after publication evidence marks it complete. This display performs no model call and does not replace Python's ticket validation at execution time.</w:t>
      </w:r>
    </w:p>
    <w:p>
      <w:r>
        <w:t>For each model-backed worker, the dashboard records and displays the exact coordinator dispatch text actually supplied to that worker. This is a redacted runtime record, not a reconstructed summary: credential-like values are removed before it enters shared dashboard state. The record makes the role's current instruction auditable without exposing environment values or implying that a worker received only the original ticket prose.</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Write-capable Terra and Luna worker calls are narrowly authorized exceptions to the OpenCode worker tool profile. Codex runs through automatic review in a native Windows-backed managed worktree, with no web search, no forwarded provider credentials, and explicit instructions to edit only the allowed project paths. Its base shell may remain read-only while approved patch operations write through the application review path. Deterministic Git diff, scope, and protected-path gates remain authoritative immediately after it returns; patch approval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/mnt/c/Users/&lt;Windows user&gt;/Documents/Codex/WesnothAgentWorktrees/&lt;ticket&gt;-&lt;timestamp&gt; when launched through the supported Windows workflow.</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Luna Medium tester evaluates the implementation against the objective and available evidence. Luna Light may run once only when Luna Medium is unavailable or non-decisive.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3 120B runs as the independent primary reviewer.</w:t>
      </w:r>
    </w:p>
    <w:p>
      <w:pPr/>
      <w:r>
        <w:t>Luna Light is used only when Nemotron is unavailable or non-decisive due to an infrastructure condition such as timeout, quota failure, or malformed output.</w:t>
      </w:r>
    </w:p>
    <w:p>
      <w:pPr/>
      <w:r>
        <w:t>No reviewer shopping: a substantive request for changes from Nemotron or Luna Light is authoritative and is not sent to a later model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using Luna Medium for mechanical Fast-Fix work and Terra Medium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applies persistent per-model launch pacing at the published 40 RPM Nemotron ceiling. Codex account usage remains account-managed. A timeout, quota error, process error, or non-decisive response opens that exact policy route's circuit for the next two worktree runs; Luna Medium and Luna Light are tracked separately so the one configured fallback remains available. A valid negative content verdict is not a provider failure and does not open a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2"/>
      </w:pPr>
      <w:r>
        <w:t>21. Autonomous production architecture</w:t>
      </w:r>
    </w:p>
    <w:p>
      <w:pPr/>
      <w:r>
        <w:t>The approved product direction and sequenced adoption are recorded in `docs/TARGET_ARCHITECTURE.md` and `docs/AUTONOMOUS_PRODUCTION_PLAN.md`. Those design documents refine how the existing system chooses and verifies work; they do not independently authorize a worker, model, or dashboard to change credentials, provider routing, protected paths, test requirements, publication, merges, or public distribution. Changes to those controls require their own reviewed governance or coordinator tickets.</w:t>
      </w:r>
    </w:p>
    <w:p>
      <w:pPr>
        <w:pStyle w:val="Heading3"/>
      </w:pPr>
      <w:r>
        <w:t>21.1 Versioned product graph</w:t>
      </w:r>
    </w:p>
    <w:p>
      <w:pPr/>
      <w:r>
        <w:t>Keep intended content and requirements in a versioned `production/` tree outside the shipped add-on. Each node has a stable ID, kind, design revision, milestone, source paths, requirement IDs, required assets, production dependencies, and impact relationships. Validate IDs, links, bounded inputs, safe paths, and an acyclic production dependency graph before a node can guide work. Campaign transitions are separate edges and may contain replay loops. WML remains the single executable game source; production records are design and validation inputs, not a second gameplay runtime.</w:t>
      </w:r>
    </w:p>
    <w:p>
      <w:pPr/>
      <w:r>
        <w:t>Milestone exit gates and accepted creative direction are controlled planning inputs. Ordinary implementation workers cannot mark them satisfied or weaken accepted requirements. A mission-authoring ticket may edit only its assigned bounded design paths under independent review. Product records describe intent; runtime attempts, logs, and process state remain in ignored `agent/runtime/`.</w:t>
      </w:r>
    </w:p>
    <w:p>
      <w:pPr>
        <w:pStyle w:val="Heading3"/>
      </w:pPr>
      <w:r>
        <w:t>21.2 Evidence and readiness</w:t>
      </w:r>
    </w:p>
    <w:p>
      <w:pPr/>
      <w:r>
        <w:t>For each required mission or system, derive design, implementation, runtime behavior, campaign integration, presentation, play quality, and release readiness separately. Each dimension is `missing`, `in_progress`, `blocked`, `verified`, or `stale`. A milestone is complete only when all required nodes and exit gates are verified on applicable evidence. A ticket publication, structural source assertion, or model verdict cannot by itself verify gameplay or quality.</w:t>
      </w:r>
    </w:p>
    <w:p>
      <w:pPr/>
      <w:r>
        <w:t>Accepted evidence binds requirement revision and dependencies to the candidate tree or commit, engine build, harness revision, scenario, difficulty, seed, probe identity, actual exit status, bounded observations, and retained artifact digest. Missing or stale evidence cannot satisfy a requirement. Shared gameplay changes invalidate affected consumers; unknown dependencies require the broader applicable suite. Reuse records the prior identity and why relevant inputs still match. Claims advance through structure, launch, behavior, sequence, play quality, and exact player-build release gates. No gate may infer PASS merely because a process remains alive or source text is retained.</w:t>
      </w:r>
    </w:p>
    <w:p>
      <w:pPr>
        <w:pStyle w:val="Heading3"/>
      </w:pPr>
      <w:r>
        <w:t>21.3 Scheduling and authority</w:t>
      </w:r>
    </w:p>
    <w:p>
      <w:pPr/>
      <w:r>
        <w:t>The deterministic coordinator first reconciles trusted Git and runtime state, resumes eligible work, and preserves global pauses and recovery limits. It then selects an unmet requirement in the current approved milestone, subject to dependency, path, asset, budget, and validation capability constraints. Stable priority is release-blocking regressions, prerequisites for the playable slice, slice quality, then expansion, with explicit milestone priority and node ID as tie-breakers. Reuse a valid bounded contract before asking a planning model. Planning proposals cannot replace a failed objective or declare their own PASS.</w:t>
      </w:r>
    </w:p>
    <w:p>
      <w:pPr/>
      <w:r>
        <w:t>Start with one write worker and one publication lane. The existing isolated executor, independent tester and reviewer, installed-engine checks, exact-head CI, protected merge, asset handoff, and owner decision boundaries remain in force. Product-gap scheduling starts in read-only shadow mode until its schema, evidence, and precedence are independently validated. A global safety pause cannot be bypassed by choosing unrelated work. Public add-on-server release requires separate owner authorization after release-candidate qualification.</w:t>
      </w:r>
    </w:p>
    <w:p>
      <w:pPr>
        <w:pStyle w:val="Heading3"/>
      </w:pPr>
      <w:r>
        <w:t>21.4 Unattended operating charter</w:t>
      </w:r>
    </w:p>
    <w:p>
      <w:pPr/>
      <w:r>
        <w:t>An unattended run requires a reviewed, versioned charter bound to the exact controlled-reference package and production design revisions. Before dispatch, the deterministic controller validates the milestone, delivery profile, required nodes, allowed ticket classes and paths, available engine and desktop capabilities, routine decision defaults, resource limits, completion reserve, expiry, revocation, and recorded authority for each consequential action. A charter cannot authorize itself. Missing limits, stale identities, or unresolved critical prerequisites block the affected work. Actual and reserved usage, retries, and action identities survive restart; exhaustion cannot waive a gate.</w:t>
      </w:r>
    </w:p>
    <w:p>
      <w:pPr/>
      <w:r>
        <w:t>The existing approval queue remains the publication authority. Continuous publication applies only while its recorded authorization is live and only to the exact qualifying non-deleting ticket under its existing stop rules. Local verified-build promotion requires an explicit charter permission and complete delivery evidence. File deletion, changes to credentials or model routing, host security or startup settings, and public add-on-server distribution retain their separate governing decisions. Workers cannot edit the charter, accepted outcomes, or protected inputs to make a candidate eligible. A required decision identifies its exact action and preserves unrelated eligible work only where current policy permits it.</w:t>
      </w:r>
    </w:p>
    <w:p>
      <w:pPr>
        <w:pStyle w:val="Heading3"/>
      </w:pPr>
      <w:r>
        <w:t>21.5 Verified player builds and delivery profiles</w:t>
      </w:r>
    </w:p>
    <w:p>
      <w:pPr/>
      <w:r>
        <w:t>The first player delivery is a connected three-mission prototype selected from existing content. Its reviewed playable-prototype profile requires installed- engine legal objective completion, negative and defeat cases, actual transitions, carryover, save/load, and package/launcher/rollback evidence on declared engine versions, difficulties, and seeds. Direct handler probes and structural checks remain separately labeled and cannot substitute for legal play. Approved original temporary media may satisfy only the prototype profile while retaining every applicable technical and full-state asset gate. Final presentation and human play quality remain unverified until their own reviews. The later production-proof and release-candidate profiles have distinct, stronger exit requirements; workers cannot downgrade a fixed profile after a failure.</w:t>
      </w:r>
    </w:p>
    <w:p>
      <w:pPr/>
      <w:r>
        <w:t>Build only from an exact reviewed, integrated revision. Package an allowlisted add-on without controller state, credentials, test instrumentation, development tools, or logs, then test those exact bytes in isolated clean userdata. An immutable manifest binds source, package and file digests, engine and harness, requirements and evidence, tested coverage, profile, assets, entry points, limitations, save compatibility, and predecessor. A single authorized owner records promotion intent and atomically changes a validated current-build pointer on the same filesystem. Restart reconciles pointer, intent, manifest, and bytes. The normal player launcher resolves and pins one eligible immutable build without the development controller or network; an explicit developer launcher may stage experimental work separately. Saves live outside build directories and are never overwritten by promotion or rollback. Retain an eligible predecessor and preserve incompatible saves. A missing or revoked eligible build is reported honestly, never replaced with an untested checkout.</w:t>
      </w:r>
    </w:p>
    <w:p>
      <w:pPr>
        <w:pStyle w:val="Heading3"/>
      </w:pPr>
      <w:r>
        <w:t>21.6 Supervision, recovery, and qualification</w:t>
      </w:r>
    </w:p>
    <w:p>
      <w:pPr/>
      <w:r>
        <w:t>One OS-locked state writer uses monotonic revisions, atomic checkpoints, stable action identities, and process creation identity. Intent precedes external actions; after interruption, the controller reconciles actual Git, PR, engine, asset, and build state before retrying. It may supervise only verified owned processes within the reviewed charter. Preflight engine, storage, repository, authentication availability, budgets, assets, and required desktop/session conditions without exposing secrets or silently changing power, login, or security settings. A missing GUI or locked-session capability blocks its required gate. Reboot recovery is claimed only if approved automatic startup is configured.</w:t>
      </w:r>
    </w:p>
    <w:p>
      <w:pPr/>
      <w:r>
        <w:t>Retain the existing two-attempt repair and three-consecutive-worktree-failure limits, global pauses, provider circuits, deletion approval, and exact-head publication checks. Bounded retries, quota waits, no-progress detection, and the completion cutoff cannot reset counters or skip verification. Before claiming unattended delivery, run isolated interruption and fault fixtures plus an approved bounded real trial on the supported host and session. Success requires at least one newly verified requirement in a promoted, offline-launchable player build while its predecessor and saves remain safe. A preserved safe stop reports its precise blocker but is not itself successful unattended delivery. The owner view shows the selected eligible build, playable coverage, unverified dimensions, budget use, and one needed action without exposing credentials or raw logs.</w:t>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