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64"/>
        </w:rPr>
        <w:t>Bargello Eindhoven</w:t>
      </w:r>
    </w:p>
    <w:p>
      <w:pPr>
        <w:pStyle w:val="Heading2"/>
        <w:jc w:val="center"/>
      </w:pPr>
      <w:r>
        <w:rPr>
          <w:color w:val="0066CC"/>
          <w:sz w:val="40"/>
        </w:rPr>
        <w:t>Professional SEO Growth Proposal</w:t>
      </w:r>
    </w:p>
    <w:p>
      <w:pPr>
        <w:pStyle w:val="Heading3"/>
        <w:jc w:val="center"/>
      </w:pPr>
      <w:r>
        <w:rPr>
          <w:i/>
          <w:sz w:val="28"/>
        </w:rPr>
        <w:t>6-Month Strategic Plan to Dominate Local &amp; Niche Fragrance Market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shd w:fill="003366"/>
          </w:tcPr>
          <w:p>
            <w:r>
              <w:rPr>
                <w:sz w:val="22"/>
              </w:rPr>
              <w:t>Prepared for:</w:t>
            </w:r>
          </w:p>
        </w:tc>
        <w:tc>
          <w:tcPr>
            <w:tcW w:type="dxa" w:w="5440"/>
            <w:shd w:fill="E6F0FF"/>
          </w:tcPr>
          <w:p>
            <w:r>
              <w:rPr>
                <w:sz w:val="22"/>
              </w:rPr>
              <w:t>Bargello Eindhoven</w:t>
            </w:r>
          </w:p>
        </w:tc>
      </w:tr>
      <w:tr>
        <w:tc>
          <w:tcPr>
            <w:tcW w:type="dxa" w:w="5440"/>
            <w:shd w:fill="003366"/>
          </w:tcPr>
          <w:p>
            <w:r>
              <w:rPr>
                <w:sz w:val="22"/>
              </w:rPr>
              <w:t>Date:</w:t>
            </w:r>
          </w:p>
        </w:tc>
        <w:tc>
          <w:tcPr>
            <w:tcW w:type="dxa" w:w="5440"/>
            <w:shd w:fill="E6F0FF"/>
          </w:tcPr>
          <w:p>
            <w:r>
              <w:rPr>
                <w:sz w:val="22"/>
              </w:rPr>
              <w:t>July 28, 2026</w:t>
            </w:r>
          </w:p>
        </w:tc>
      </w:tr>
      <w:tr>
        <w:tc>
          <w:tcPr>
            <w:tcW w:type="dxa" w:w="5440"/>
            <w:shd w:fill="003366"/>
          </w:tcPr>
          <w:p>
            <w:r>
              <w:rPr>
                <w:sz w:val="22"/>
              </w:rPr>
              <w:t>Investment:</w:t>
            </w:r>
          </w:p>
        </w:tc>
        <w:tc>
          <w:tcPr>
            <w:tcW w:type="dxa" w:w="5440"/>
            <w:shd w:fill="E6F0FF"/>
          </w:tcPr>
          <w:p>
            <w:r>
              <w:rPr>
                <w:sz w:val="22"/>
              </w:rPr>
              <w:t>€5,300–7,300</w:t>
            </w:r>
          </w:p>
        </w:tc>
      </w:tr>
      <w:tr>
        <w:tc>
          <w:tcPr>
            <w:tcW w:type="dxa" w:w="5440"/>
            <w:shd w:fill="003366"/>
          </w:tcPr>
          <w:p>
            <w:r>
              <w:rPr>
                <w:sz w:val="22"/>
              </w:rPr>
              <w:t>Expected ROI:</w:t>
            </w:r>
          </w:p>
        </w:tc>
        <w:tc>
          <w:tcPr>
            <w:tcW w:type="dxa" w:w="5440"/>
            <w:shd w:fill="E6F0FF"/>
          </w:tcPr>
          <w:p>
            <w:r>
              <w:rPr>
                <w:sz w:val="22"/>
              </w:rPr>
              <w:t>300–500% within 6 months</w:t>
            </w:r>
          </w:p>
        </w:tc>
      </w:tr>
    </w:tbl>
    <w:p>
      <w:r>
        <w:br w:type="page"/>
      </w:r>
    </w:p>
    <w:p>
      <w:pPr>
        <w:pStyle w:val="Heading2"/>
      </w:pPr>
      <w:r>
        <w:t>Executive Summary</w:t>
      </w:r>
    </w:p>
    <w:p>
      <w:pPr>
        <w:spacing w:after="240"/>
      </w:pPr>
      <w:r>
        <w:t>Bargello Eindhoven operates in a competitive Dutch fragrance market but lacks a structured SEO strategy. While competitors like Douglas, ICI Paris XL, and Parfumado dominate through extensive content and authority building, Bargello has an untapped opportunity to capture the niche luxury-inspired fragrance segment through targeted SEO.</w:t>
        <w:br/>
        <w:br/>
        <w:t>This proposal outlines a 6-month strategic plan to establish Bargello as the preferred local authority for luxury-inspired fragrances in Eindhoven and the broader Brabant region.</w:t>
      </w:r>
    </w:p>
    <w:p>
      <w:pPr>
        <w:pStyle w:val="Heading3"/>
      </w:pPr>
      <w:r>
        <w:t>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shd w:fill="00336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440"/>
            <w:shd w:fill="003366"/>
          </w:tcPr>
          <w:p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5440"/>
          </w:tcPr>
          <w:p>
            <w:r>
              <w:t>Total Addressable Search Volume</w:t>
            </w:r>
          </w:p>
        </w:tc>
        <w:tc>
          <w:tcPr>
            <w:tcW w:type="dxa" w:w="5440"/>
          </w:tcPr>
          <w:p>
            <w:r>
              <w:t>103,280 searches/month</w:t>
            </w:r>
          </w:p>
        </w:tc>
      </w:tr>
      <w:tr>
        <w:tc>
          <w:tcPr>
            <w:tcW w:type="dxa" w:w="5440"/>
            <w:shd w:fill="E6F0FF"/>
          </w:tcPr>
          <w:p>
            <w:r>
              <w:t>Current Organic Traffic</w:t>
            </w:r>
          </w:p>
        </w:tc>
        <w:tc>
          <w:tcPr>
            <w:tcW w:type="dxa" w:w="5440"/>
            <w:shd w:fill="E6F0FF"/>
          </w:tcPr>
          <w:p>
            <w:r>
              <w:t>50–100 visits/month</w:t>
            </w:r>
          </w:p>
        </w:tc>
      </w:tr>
      <w:tr>
        <w:tc>
          <w:tcPr>
            <w:tcW w:type="dxa" w:w="5440"/>
          </w:tcPr>
          <w:p>
            <w:r>
              <w:t>Expected Month 6 Traffic</w:t>
            </w:r>
          </w:p>
        </w:tc>
        <w:tc>
          <w:tcPr>
            <w:tcW w:type="dxa" w:w="5440"/>
          </w:tcPr>
          <w:p>
            <w:r>
              <w:t>2,000–3,000 visits/month</w:t>
            </w:r>
          </w:p>
        </w:tc>
      </w:tr>
      <w:tr>
        <w:tc>
          <w:tcPr>
            <w:tcW w:type="dxa" w:w="5440"/>
            <w:shd w:fill="E6F0FF"/>
          </w:tcPr>
          <w:p>
            <w:r>
              <w:t>Expected Month 6 Revenue</w:t>
            </w:r>
          </w:p>
        </w:tc>
        <w:tc>
          <w:tcPr>
            <w:tcW w:type="dxa" w:w="5440"/>
            <w:shd w:fill="E6F0FF"/>
          </w:tcPr>
          <w:p>
            <w:r>
              <w:t>€4,340–4,410/month</w:t>
            </w:r>
          </w:p>
        </w:tc>
      </w:tr>
      <w:tr>
        <w:tc>
          <w:tcPr>
            <w:tcW w:type="dxa" w:w="5440"/>
          </w:tcPr>
          <w:p>
            <w:r>
              <w:t>Payback Period</w:t>
            </w:r>
          </w:p>
        </w:tc>
        <w:tc>
          <w:tcPr>
            <w:tcW w:type="dxa" w:w="5440"/>
          </w:tcPr>
          <w:p>
            <w:r>
              <w:t>1.5–2 months</w:t>
            </w:r>
          </w:p>
        </w:tc>
      </w:tr>
    </w:tbl>
    <w:p>
      <w:r>
        <w:br w:type="page"/>
      </w:r>
    </w:p>
    <w:p>
      <w:pPr>
        <w:pStyle w:val="Heading2"/>
      </w:pPr>
      <w:r>
        <w:t>Section 1: Current Situation Analysis</w:t>
      </w:r>
    </w:p>
    <w:p>
      <w:pPr>
        <w:pStyle w:val="Heading3"/>
      </w:pPr>
      <w:r>
        <w:t>1.1 About Bargello Eindhoven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shd w:fill="FF660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5440"/>
            <w:shd w:fill="FFF5E6"/>
          </w:tcPr>
          <w:p>
            <w:r>
              <w:rPr>
                <w:sz w:val="20"/>
              </w:rPr>
              <w:t>Eindhoven, Netherlands</w:t>
            </w:r>
          </w:p>
        </w:tc>
      </w:tr>
      <w:tr>
        <w:tc>
          <w:tcPr>
            <w:tcW w:type="dxa" w:w="5440"/>
            <w:shd w:fill="FF6600"/>
          </w:tcPr>
          <w:p>
            <w:r>
              <w:rPr>
                <w:sz w:val="20"/>
              </w:rPr>
              <w:t>Specialization</w:t>
            </w:r>
          </w:p>
        </w:tc>
        <w:tc>
          <w:tcPr>
            <w:tcW w:type="dxa" w:w="5440"/>
          </w:tcPr>
          <w:p>
            <w:r>
              <w:rPr>
                <w:sz w:val="20"/>
              </w:rPr>
              <w:t>Luxury-inspired fragrances, candles, reed diffusers</w:t>
            </w:r>
          </w:p>
        </w:tc>
      </w:tr>
      <w:tr>
        <w:tc>
          <w:tcPr>
            <w:tcW w:type="dxa" w:w="5440"/>
            <w:shd w:fill="FF6600"/>
          </w:tcPr>
          <w:p>
            <w:r>
              <w:rPr>
                <w:sz w:val="20"/>
              </w:rPr>
              <w:t>Product Range</w:t>
            </w:r>
          </w:p>
        </w:tc>
        <w:tc>
          <w:tcPr>
            <w:tcW w:type="dxa" w:w="5440"/>
            <w:shd w:fill="FFF5E6"/>
          </w:tcPr>
          <w:p>
            <w:r>
              <w:rPr>
                <w:sz w:val="20"/>
              </w:rPr>
              <w:t>33+ SKUs across multiple categories</w:t>
            </w:r>
          </w:p>
        </w:tc>
      </w:tr>
      <w:tr>
        <w:tc>
          <w:tcPr>
            <w:tcW w:type="dxa" w:w="5440"/>
            <w:shd w:fill="FF6600"/>
          </w:tcPr>
          <w:p>
            <w:r>
              <w:rPr>
                <w:sz w:val="20"/>
              </w:rPr>
              <w:t>Categories</w:t>
            </w:r>
          </w:p>
        </w:tc>
        <w:tc>
          <w:tcPr>
            <w:tcW w:type="dxa" w:w="5440"/>
          </w:tcPr>
          <w:p>
            <w:r>
              <w:rPr>
                <w:sz w:val="20"/>
              </w:rPr>
              <w:t>Men's, Women's, Unisex, Accessories</w:t>
            </w:r>
          </w:p>
        </w:tc>
      </w:tr>
      <w:tr>
        <w:tc>
          <w:tcPr>
            <w:tcW w:type="dxa" w:w="5440"/>
            <w:shd w:fill="FF6600"/>
          </w:tcPr>
          <w:p>
            <w:r>
              <w:rPr>
                <w:sz w:val="20"/>
              </w:rPr>
              <w:t>Market Position</w:t>
            </w:r>
          </w:p>
        </w:tc>
        <w:tc>
          <w:tcPr>
            <w:tcW w:type="dxa" w:w="5440"/>
            <w:shd w:fill="FFF5E6"/>
          </w:tcPr>
          <w:p>
            <w:r>
              <w:rPr>
                <w:sz w:val="20"/>
              </w:rPr>
              <w:t>Local specialty retailer with premium positioning</w:t>
            </w:r>
          </w:p>
        </w:tc>
      </w:tr>
      <w:tr>
        <w:tc>
          <w:tcPr>
            <w:tcW w:type="dxa" w:w="5440"/>
          </w:tcPr>
          <w:p/>
        </w:tc>
        <w:tc>
          <w:tcPr>
            <w:tcW w:type="dxa" w:w="5440"/>
          </w:tcPr>
          <w:p/>
        </w:tc>
      </w:tr>
    </w:tbl>
    <w:p>
      <w:pPr>
        <w:pStyle w:val="Heading3"/>
      </w:pPr>
      <w:r>
        <w:t>1.2 Current SEO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shd w:fill="00CC66"/>
          </w:tcPr>
          <w:p>
            <w:r>
              <w:t>Indexed Pages</w:t>
            </w:r>
          </w:p>
        </w:tc>
        <w:tc>
          <w:tcPr>
            <w:tcW w:type="dxa" w:w="5440"/>
            <w:shd w:fill="E6FFE6"/>
          </w:tcPr>
          <w:p>
            <w:r>
              <w:t>35–40</w:t>
            </w:r>
          </w:p>
        </w:tc>
      </w:tr>
      <w:tr>
        <w:tc>
          <w:tcPr>
            <w:tcW w:type="dxa" w:w="5440"/>
            <w:shd w:fill="00CC66"/>
          </w:tcPr>
          <w:p>
            <w:r>
              <w:t>Ranking Keywords</w:t>
            </w:r>
          </w:p>
        </w:tc>
        <w:tc>
          <w:tcPr>
            <w:tcW w:type="dxa" w:w="5440"/>
          </w:tcPr>
          <w:p>
            <w:r>
              <w:t>0</w:t>
            </w:r>
          </w:p>
        </w:tc>
      </w:tr>
      <w:tr>
        <w:tc>
          <w:tcPr>
            <w:tcW w:type="dxa" w:w="5440"/>
            <w:shd w:fill="00CC66"/>
          </w:tcPr>
          <w:p>
            <w:r>
              <w:t>Monthly Organic Traffic</w:t>
            </w:r>
          </w:p>
        </w:tc>
        <w:tc>
          <w:tcPr>
            <w:tcW w:type="dxa" w:w="5440"/>
            <w:shd w:fill="E6FFE6"/>
          </w:tcPr>
          <w:p>
            <w:r>
              <w:t>50–100 visits</w:t>
            </w:r>
          </w:p>
        </w:tc>
      </w:tr>
      <w:tr>
        <w:tc>
          <w:tcPr>
            <w:tcW w:type="dxa" w:w="5440"/>
            <w:shd w:fill="00CC66"/>
          </w:tcPr>
          <w:p>
            <w:r>
              <w:t>Domain Authority</w:t>
            </w:r>
          </w:p>
        </w:tc>
        <w:tc>
          <w:tcPr>
            <w:tcW w:type="dxa" w:w="5440"/>
          </w:tcPr>
          <w:p>
            <w:r>
              <w:t>1</w:t>
            </w:r>
          </w:p>
        </w:tc>
      </w:tr>
      <w:tr>
        <w:tc>
          <w:tcPr>
            <w:tcW w:type="dxa" w:w="5440"/>
            <w:shd w:fill="00CC66"/>
          </w:tcPr>
          <w:p>
            <w:r>
              <w:t>Backlinks</w:t>
            </w:r>
          </w:p>
        </w:tc>
        <w:tc>
          <w:tcPr>
            <w:tcW w:type="dxa" w:w="5440"/>
            <w:shd w:fill="E6FFE6"/>
          </w:tcPr>
          <w:p>
            <w:r>
              <w:t>0 (estimated)</w:t>
            </w:r>
          </w:p>
        </w:tc>
      </w:tr>
      <w:tr>
        <w:tc>
          <w:tcPr>
            <w:tcW w:type="dxa" w:w="5440"/>
            <w:shd w:fill="00CC66"/>
          </w:tcPr>
          <w:p>
            <w:r>
              <w:t>Blog Posts</w:t>
            </w:r>
          </w:p>
        </w:tc>
        <w:tc>
          <w:tcPr>
            <w:tcW w:type="dxa" w:w="5440"/>
          </w:tcPr>
          <w:p>
            <w:r>
              <w:t>0</w:t>
            </w:r>
          </w:p>
        </w:tc>
      </w:tr>
      <w:tr>
        <w:tc>
          <w:tcPr>
            <w:tcW w:type="dxa" w:w="5440"/>
            <w:shd w:fill="00CC66"/>
          </w:tcPr>
          <w:p>
            <w:r>
              <w:t>Mobile Responsive</w:t>
            </w:r>
          </w:p>
        </w:tc>
        <w:tc>
          <w:tcPr>
            <w:tcW w:type="dxa" w:w="5440"/>
            <w:shd w:fill="E6FFE6"/>
          </w:tcPr>
          <w:p>
            <w:r>
              <w:t>✓ Yes</w:t>
            </w:r>
          </w:p>
        </w:tc>
      </w:tr>
      <w:tr>
        <w:tc>
          <w:tcPr>
            <w:tcW w:type="dxa" w:w="5440"/>
            <w:shd w:fill="00CC66"/>
          </w:tcPr>
          <w:p>
            <w:r>
              <w:t>SSL Certificate</w:t>
            </w:r>
          </w:p>
        </w:tc>
        <w:tc>
          <w:tcPr>
            <w:tcW w:type="dxa" w:w="5440"/>
          </w:tcPr>
          <w:p>
            <w:r>
              <w:t>✓ Implemented</w:t>
            </w:r>
          </w:p>
        </w:tc>
      </w:tr>
    </w:tbl>
    <w:p>
      <w:r>
        <w:br w:type="page"/>
      </w:r>
    </w:p>
    <w:p>
      <w:pPr>
        <w:pStyle w:val="Heading2"/>
      </w:pPr>
      <w:r>
        <w:t>Section 2: Competitive Landscape Analysis</w:t>
      </w:r>
    </w:p>
    <w:p>
      <w:pPr>
        <w:pStyle w:val="Heading3"/>
      </w:pPr>
      <w:r>
        <w:t>2.1 Competitor Comparison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76"/>
        <w:gridCol w:w="2176"/>
        <w:gridCol w:w="2176"/>
        <w:gridCol w:w="2176"/>
        <w:gridCol w:w="2176"/>
      </w:tblGrid>
      <w:tr>
        <w:tc>
          <w:tcPr>
            <w:tcW w:type="dxa" w:w="2176"/>
            <w:shd w:fill="003366"/>
          </w:tcPr>
          <w:p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2176"/>
            <w:shd w:fill="003366"/>
          </w:tcPr>
          <w:p>
            <w:r>
              <w:rPr>
                <w:b/>
                <w:color w:val="FFFFFF"/>
                <w:sz w:val="20"/>
              </w:rPr>
              <w:t>Bargello</w:t>
            </w:r>
          </w:p>
        </w:tc>
        <w:tc>
          <w:tcPr>
            <w:tcW w:type="dxa" w:w="2176"/>
            <w:shd w:fill="003366"/>
          </w:tcPr>
          <w:p>
            <w:r>
              <w:rPr>
                <w:b/>
                <w:color w:val="FFFFFF"/>
                <w:sz w:val="20"/>
              </w:rPr>
              <w:t>Parfumado</w:t>
            </w:r>
          </w:p>
        </w:tc>
        <w:tc>
          <w:tcPr>
            <w:tcW w:type="dxa" w:w="2176"/>
            <w:shd w:fill="003366"/>
          </w:tcPr>
          <w:p>
            <w:r>
              <w:rPr>
                <w:b/>
                <w:color w:val="FFFFFF"/>
                <w:sz w:val="20"/>
              </w:rPr>
              <w:t>ICI Paris XL</w:t>
            </w:r>
          </w:p>
        </w:tc>
        <w:tc>
          <w:tcPr>
            <w:tcW w:type="dxa" w:w="2176"/>
            <w:shd w:fill="003366"/>
          </w:tcPr>
          <w:p>
            <w:r>
              <w:rPr>
                <w:b/>
                <w:color w:val="FFFFFF"/>
                <w:sz w:val="20"/>
              </w:rPr>
              <w:t>Douglas</w:t>
            </w:r>
          </w:p>
        </w:tc>
      </w:tr>
      <w:tr>
        <w:tc>
          <w:tcPr>
            <w:tcW w:type="dxa" w:w="2176"/>
            <w:shd w:fill="F0F0F0"/>
          </w:tcPr>
          <w:p>
            <w:r>
              <w:t>Indexed Pages</w:t>
            </w:r>
          </w:p>
        </w:tc>
        <w:tc>
          <w:tcPr>
            <w:tcW w:type="dxa" w:w="2176"/>
          </w:tcPr>
          <w:p>
            <w:r>
              <w:t>35–40</w:t>
            </w:r>
          </w:p>
        </w:tc>
        <w:tc>
          <w:tcPr>
            <w:tcW w:type="dxa" w:w="2176"/>
          </w:tcPr>
          <w:p>
            <w:r>
              <w:t>100+</w:t>
            </w:r>
          </w:p>
        </w:tc>
        <w:tc>
          <w:tcPr>
            <w:tcW w:type="dxa" w:w="2176"/>
          </w:tcPr>
          <w:p>
            <w:r>
              <w:t>500+</w:t>
            </w:r>
          </w:p>
        </w:tc>
        <w:tc>
          <w:tcPr>
            <w:tcW w:type="dxa" w:w="2176"/>
          </w:tcPr>
          <w:p>
            <w:r>
              <w:t>1,000+</w:t>
            </w:r>
          </w:p>
        </w:tc>
      </w:tr>
      <w:tr>
        <w:tc>
          <w:tcPr>
            <w:tcW w:type="dxa" w:w="2176"/>
            <w:shd w:fill="F0F0F0"/>
          </w:tcPr>
          <w:p>
            <w:r>
              <w:t>Keywords Ranking</w:t>
            </w:r>
          </w:p>
        </w:tc>
        <w:tc>
          <w:tcPr>
            <w:tcW w:type="dxa" w:w="2176"/>
            <w:shd w:fill="F5F5F5"/>
          </w:tcPr>
          <w:p>
            <w:r>
              <w:t>0</w:t>
            </w:r>
          </w:p>
        </w:tc>
        <w:tc>
          <w:tcPr>
            <w:tcW w:type="dxa" w:w="2176"/>
            <w:shd w:fill="F5F5F5"/>
          </w:tcPr>
          <w:p>
            <w:r>
              <w:t>38</w:t>
            </w:r>
          </w:p>
        </w:tc>
        <w:tc>
          <w:tcPr>
            <w:tcW w:type="dxa" w:w="2176"/>
            <w:shd w:fill="F5F5F5"/>
          </w:tcPr>
          <w:p>
            <w:r>
              <w:t>484</w:t>
            </w:r>
          </w:p>
        </w:tc>
        <w:tc>
          <w:tcPr>
            <w:tcW w:type="dxa" w:w="2176"/>
            <w:shd w:fill="F5F5F5"/>
          </w:tcPr>
          <w:p>
            <w:r>
              <w:t>8,500+</w:t>
            </w:r>
          </w:p>
        </w:tc>
      </w:tr>
      <w:tr>
        <w:tc>
          <w:tcPr>
            <w:tcW w:type="dxa" w:w="2176"/>
            <w:shd w:fill="F0F0F0"/>
          </w:tcPr>
          <w:p>
            <w:r>
              <w:t>Monthly Traffic</w:t>
            </w:r>
          </w:p>
        </w:tc>
        <w:tc>
          <w:tcPr>
            <w:tcW w:type="dxa" w:w="2176"/>
          </w:tcPr>
          <w:p>
            <w:r>
              <w:t>50–100</w:t>
            </w:r>
          </w:p>
        </w:tc>
        <w:tc>
          <w:tcPr>
            <w:tcW w:type="dxa" w:w="2176"/>
          </w:tcPr>
          <w:p>
            <w:r>
              <w:t>350K</w:t>
            </w:r>
          </w:p>
        </w:tc>
        <w:tc>
          <w:tcPr>
            <w:tcW w:type="dxa" w:w="2176"/>
          </w:tcPr>
          <w:p>
            <w:r>
              <w:t>664K</w:t>
            </w:r>
          </w:p>
        </w:tc>
        <w:tc>
          <w:tcPr>
            <w:tcW w:type="dxa" w:w="2176"/>
          </w:tcPr>
          <w:p>
            <w:r>
              <w:t>5.2M</w:t>
            </w:r>
          </w:p>
        </w:tc>
      </w:tr>
      <w:tr>
        <w:tc>
          <w:tcPr>
            <w:tcW w:type="dxa" w:w="2176"/>
            <w:shd w:fill="F0F0F0"/>
          </w:tcPr>
          <w:p>
            <w:r>
              <w:t>Domain Authority</w:t>
            </w:r>
          </w:p>
        </w:tc>
        <w:tc>
          <w:tcPr>
            <w:tcW w:type="dxa" w:w="2176"/>
            <w:shd w:fill="F5F5F5"/>
          </w:tcPr>
          <w:p>
            <w:r>
              <w:t>1</w:t>
            </w:r>
          </w:p>
        </w:tc>
        <w:tc>
          <w:tcPr>
            <w:tcW w:type="dxa" w:w="2176"/>
            <w:shd w:fill="F5F5F5"/>
          </w:tcPr>
          <w:p>
            <w:r>
              <w:t>34</w:t>
            </w:r>
          </w:p>
        </w:tc>
        <w:tc>
          <w:tcPr>
            <w:tcW w:type="dxa" w:w="2176"/>
            <w:shd w:fill="F5F5F5"/>
          </w:tcPr>
          <w:p>
            <w:r>
              <w:t>47</w:t>
            </w:r>
          </w:p>
        </w:tc>
        <w:tc>
          <w:tcPr>
            <w:tcW w:type="dxa" w:w="2176"/>
            <w:shd w:fill="F5F5F5"/>
          </w:tcPr>
          <w:p>
            <w:r>
              <w:t>52</w:t>
            </w:r>
          </w:p>
        </w:tc>
      </w:tr>
      <w:tr>
        <w:tc>
          <w:tcPr>
            <w:tcW w:type="dxa" w:w="2176"/>
            <w:shd w:fill="F0F0F0"/>
          </w:tcPr>
          <w:p>
            <w:r>
              <w:t>Physical Stores</w:t>
            </w:r>
          </w:p>
        </w:tc>
        <w:tc>
          <w:tcPr>
            <w:tcW w:type="dxa" w:w="2176"/>
          </w:tcPr>
          <w:p>
            <w:r>
              <w:t>1</w:t>
            </w:r>
          </w:p>
        </w:tc>
        <w:tc>
          <w:tcPr>
            <w:tcW w:type="dxa" w:w="2176"/>
          </w:tcPr>
          <w:p>
            <w:r>
              <w:t>0</w:t>
            </w:r>
          </w:p>
        </w:tc>
        <w:tc>
          <w:tcPr>
            <w:tcW w:type="dxa" w:w="2176"/>
          </w:tcPr>
          <w:p>
            <w:r>
              <w:t>100+</w:t>
            </w:r>
          </w:p>
        </w:tc>
        <w:tc>
          <w:tcPr>
            <w:tcW w:type="dxa" w:w="2176"/>
          </w:tcPr>
          <w:p>
            <w:r>
              <w:t>2,400+</w:t>
            </w:r>
          </w:p>
        </w:tc>
      </w:tr>
      <w:tr>
        <w:tc>
          <w:tcPr>
            <w:tcW w:type="dxa" w:w="2176"/>
            <w:shd w:fill="F0F0F0"/>
          </w:tcPr>
          <w:p>
            <w:r>
              <w:t>Market Reach</w:t>
            </w:r>
          </w:p>
        </w:tc>
        <w:tc>
          <w:tcPr>
            <w:tcW w:type="dxa" w:w="2176"/>
            <w:shd w:fill="F5F5F5"/>
          </w:tcPr>
          <w:p>
            <w:r>
              <w:t>Local</w:t>
            </w:r>
          </w:p>
        </w:tc>
        <w:tc>
          <w:tcPr>
            <w:tcW w:type="dxa" w:w="2176"/>
            <w:shd w:fill="F5F5F5"/>
          </w:tcPr>
          <w:p>
            <w:r>
              <w:t>National</w:t>
            </w:r>
          </w:p>
        </w:tc>
        <w:tc>
          <w:tcPr>
            <w:tcW w:type="dxa" w:w="2176"/>
            <w:shd w:fill="F5F5F5"/>
          </w:tcPr>
          <w:p>
            <w:r>
              <w:t>National</w:t>
            </w:r>
          </w:p>
        </w:tc>
        <w:tc>
          <w:tcPr>
            <w:tcW w:type="dxa" w:w="2176"/>
            <w:shd w:fill="F5F5F5"/>
          </w:tcPr>
          <w:p>
            <w:r>
              <w:t>European</w:t>
            </w:r>
          </w:p>
        </w:tc>
      </w:tr>
    </w:tbl>
    <w:p>
      <w:pPr>
        <w:pStyle w:val="Heading3"/>
      </w:pPr>
      <w:r>
        <w:t>2.2 Competitive Gaps</w:t>
      </w:r>
    </w:p>
    <w:p>
      <w:r>
        <w:rPr>
          <w:b/>
        </w:rPr>
        <w:t>Gap 1: Content Volume</w:t>
        <w:br/>
      </w:r>
      <w:r>
        <w:t>Bargello: 35–40 pages | Parfumado: 100+ pages | Gap: 60% behind</w:t>
        <w:br/>
        <w:br/>
      </w:r>
      <w:r>
        <w:rPr>
          <w:b/>
        </w:rPr>
        <w:t>Gap 2: Ranking Keywords</w:t>
        <w:br/>
      </w:r>
      <w:r>
        <w:t>Bargello: 0 keywords | Parfumado: 38 keywords | Gap: Infinite</w:t>
        <w:br/>
        <w:br/>
      </w:r>
      <w:r>
        <w:rPr>
          <w:b/>
        </w:rPr>
        <w:t>Gap 3: Domain Authority</w:t>
        <w:br/>
      </w:r>
      <w:r>
        <w:t>Bargello: 1 | Parfumado: 34 | Gap: 3,300% behind</w:t>
        <w:br/>
        <w:br/>
      </w:r>
      <w:r>
        <w:rPr>
          <w:b/>
        </w:rPr>
        <w:t>Gap 4: Backlinks</w:t>
        <w:br/>
      </w:r>
      <w:r>
        <w:t>Bargello: 0 | Parfumado: 50+ | Gap: No external authority signals</w:t>
        <w:br/>
        <w:br/>
      </w:r>
      <w:r>
        <w:rPr>
          <w:b/>
        </w:rPr>
        <w:t>Gap 5: Local Presence</w:t>
        <w:br/>
      </w:r>
      <w:r>
        <w:t>Bargello: No local optimization | Gap: Missing local SEO entirely</w:t>
        <w:br/>
        <w:br/>
      </w:r>
      <w:r>
        <w:rPr>
          <w:b/>
        </w:rPr>
        <w:t>Gap 6: Blog/Educational Content</w:t>
        <w:br/>
      </w:r>
      <w:r>
        <w:t>Bargello: 0 posts | Parfumado: 20+ guides | Gap: Cannot build topical authority</w:t>
      </w:r>
    </w:p>
    <w:p>
      <w:r>
        <w:br w:type="page"/>
      </w:r>
    </w:p>
    <w:p>
      <w:pPr>
        <w:pStyle w:val="Heading2"/>
      </w:pPr>
      <w:r>
        <w:t>Section 3: Netherlands-Specific Keyword Research</w:t>
      </w:r>
    </w:p>
    <w:p>
      <w:pPr>
        <w:pStyle w:val="Heading3"/>
      </w:pPr>
      <w:r>
        <w:t>3.1 Top Dutch Keywords by Search Volume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76"/>
        <w:gridCol w:w="2176"/>
        <w:gridCol w:w="2176"/>
        <w:gridCol w:w="2176"/>
        <w:gridCol w:w="2176"/>
      </w:tblGrid>
      <w:tr>
        <w:tc>
          <w:tcPr>
            <w:tcW w:type="dxa" w:w="2176"/>
            <w:shd w:fill="FF6600"/>
          </w:tcPr>
          <w:p>
            <w:r>
              <w:rPr>
                <w:b/>
                <w:color w:val="FFFFFF"/>
                <w:sz w:val="18"/>
              </w:rPr>
              <w:t>Keyword (Dutch)</w:t>
            </w:r>
          </w:p>
        </w:tc>
        <w:tc>
          <w:tcPr>
            <w:tcW w:type="dxa" w:w="2176"/>
            <w:shd w:fill="FF6600"/>
          </w:tcPr>
          <w:p>
            <w:r>
              <w:rPr>
                <w:b/>
                <w:color w:val="FFFFFF"/>
                <w:sz w:val="18"/>
              </w:rPr>
              <w:t>Monthly Volume</w:t>
            </w:r>
          </w:p>
        </w:tc>
        <w:tc>
          <w:tcPr>
            <w:tcW w:type="dxa" w:w="2176"/>
            <w:shd w:fill="FF6600"/>
          </w:tcPr>
          <w:p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2176"/>
            <w:shd w:fill="FF6600"/>
          </w:tcPr>
          <w:p>
            <w:r>
              <w:rPr>
                <w:b/>
                <w:color w:val="FFFFFF"/>
                <w:sz w:val="18"/>
              </w:rPr>
              <w:t>CPC (€)</w:t>
            </w:r>
          </w:p>
        </w:tc>
        <w:tc>
          <w:tcPr>
            <w:tcW w:type="dxa" w:w="2176"/>
            <w:shd w:fill="FF6600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176"/>
          </w:tcPr>
          <w:p>
            <w:r>
              <w:rPr>
                <w:sz w:val="18"/>
              </w:rPr>
              <w:t>luxe parfum</w:t>
            </w:r>
          </w:p>
        </w:tc>
        <w:tc>
          <w:tcPr>
            <w:tcW w:type="dxa" w:w="2176"/>
          </w:tcPr>
          <w:p>
            <w:r>
              <w:rPr>
                <w:sz w:val="18"/>
              </w:rPr>
              <w:t>8,900</w:t>
            </w:r>
          </w:p>
        </w:tc>
        <w:tc>
          <w:tcPr>
            <w:tcW w:type="dxa" w:w="2176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176"/>
          </w:tcPr>
          <w:p>
            <w:r>
              <w:rPr>
                <w:sz w:val="18"/>
              </w:rPr>
              <w:t>€1.20</w:t>
            </w:r>
          </w:p>
        </w:tc>
        <w:tc>
          <w:tcPr>
            <w:tcW w:type="dxa" w:w="2176"/>
            <w:shd w:fill="FFE6E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76"/>
            <w:shd w:fill="F5F5F5"/>
          </w:tcPr>
          <w:p>
            <w:r>
              <w:rPr>
                <w:sz w:val="18"/>
              </w:rPr>
              <w:t>beste parfums vrouwen</w:t>
            </w:r>
          </w:p>
        </w:tc>
        <w:tc>
          <w:tcPr>
            <w:tcW w:type="dxa" w:w="2176"/>
            <w:shd w:fill="F5F5F5"/>
          </w:tcPr>
          <w:p>
            <w:r>
              <w:rPr>
                <w:sz w:val="18"/>
              </w:rPr>
              <w:t>5,400</w:t>
            </w:r>
          </w:p>
        </w:tc>
        <w:tc>
          <w:tcPr>
            <w:tcW w:type="dxa" w:w="2176"/>
            <w:shd w:fill="F5F5F5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176"/>
            <w:shd w:fill="F5F5F5"/>
          </w:tcPr>
          <w:p>
            <w:r>
              <w:rPr>
                <w:sz w:val="18"/>
              </w:rPr>
              <w:t>€1.50</w:t>
            </w:r>
          </w:p>
        </w:tc>
        <w:tc>
          <w:tcPr>
            <w:tcW w:type="dxa" w:w="2176"/>
            <w:shd w:fill="FFE6E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76"/>
          </w:tcPr>
          <w:p>
            <w:r>
              <w:rPr>
                <w:sz w:val="18"/>
              </w:rPr>
              <w:t>beste parfums mannen</w:t>
            </w:r>
          </w:p>
        </w:tc>
        <w:tc>
          <w:tcPr>
            <w:tcW w:type="dxa" w:w="2176"/>
          </w:tcPr>
          <w:p>
            <w:r>
              <w:rPr>
                <w:sz w:val="18"/>
              </w:rPr>
              <w:t>4,200</w:t>
            </w:r>
          </w:p>
        </w:tc>
        <w:tc>
          <w:tcPr>
            <w:tcW w:type="dxa" w:w="2176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176"/>
          </w:tcPr>
          <w:p>
            <w:r>
              <w:rPr>
                <w:sz w:val="18"/>
              </w:rPr>
              <w:t>€1.40</w:t>
            </w:r>
          </w:p>
        </w:tc>
        <w:tc>
          <w:tcPr>
            <w:tcW w:type="dxa" w:w="2176"/>
            <w:shd w:fill="FFE6E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76"/>
            <w:shd w:fill="F5F5F5"/>
          </w:tcPr>
          <w:p>
            <w:r>
              <w:rPr>
                <w:sz w:val="18"/>
              </w:rPr>
              <w:t>geuren voor vrouwen</w:t>
            </w:r>
          </w:p>
        </w:tc>
        <w:tc>
          <w:tcPr>
            <w:tcW w:type="dxa" w:w="2176"/>
            <w:shd w:fill="F5F5F5"/>
          </w:tcPr>
          <w:p>
            <w:r>
              <w:rPr>
                <w:sz w:val="18"/>
              </w:rPr>
              <w:t>6,800</w:t>
            </w:r>
          </w:p>
        </w:tc>
        <w:tc>
          <w:tcPr>
            <w:tcW w:type="dxa" w:w="2176"/>
            <w:shd w:fill="F5F5F5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176"/>
            <w:shd w:fill="F5F5F5"/>
          </w:tcPr>
          <w:p>
            <w:r>
              <w:rPr>
                <w:sz w:val="18"/>
              </w:rPr>
              <w:t>€1.60</w:t>
            </w:r>
          </w:p>
        </w:tc>
        <w:tc>
          <w:tcPr>
            <w:tcW w:type="dxa" w:w="2176"/>
            <w:shd w:fill="FFE6E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76"/>
          </w:tcPr>
          <w:p>
            <w:r>
              <w:rPr>
                <w:sz w:val="18"/>
              </w:rPr>
              <w:t>geuren voor mannen</w:t>
            </w:r>
          </w:p>
        </w:tc>
        <w:tc>
          <w:tcPr>
            <w:tcW w:type="dxa" w:w="2176"/>
          </w:tcPr>
          <w:p>
            <w:r>
              <w:rPr>
                <w:sz w:val="18"/>
              </w:rPr>
              <w:t>5,200</w:t>
            </w:r>
          </w:p>
        </w:tc>
        <w:tc>
          <w:tcPr>
            <w:tcW w:type="dxa" w:w="2176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176"/>
          </w:tcPr>
          <w:p>
            <w:r>
              <w:rPr>
                <w:sz w:val="18"/>
              </w:rPr>
              <w:t>€1.50</w:t>
            </w:r>
          </w:p>
        </w:tc>
        <w:tc>
          <w:tcPr>
            <w:tcW w:type="dxa" w:w="2176"/>
            <w:shd w:fill="FFE6E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76"/>
            <w:shd w:fill="F5F5F5"/>
          </w:tcPr>
          <w:p>
            <w:r>
              <w:rPr>
                <w:sz w:val="18"/>
              </w:rPr>
              <w:t>luxe geuren online</w:t>
            </w:r>
          </w:p>
        </w:tc>
        <w:tc>
          <w:tcPr>
            <w:tcW w:type="dxa" w:w="2176"/>
            <w:shd w:fill="F5F5F5"/>
          </w:tcPr>
          <w:p>
            <w:r>
              <w:rPr>
                <w:sz w:val="18"/>
              </w:rPr>
              <w:t>3,200</w:t>
            </w:r>
          </w:p>
        </w:tc>
        <w:tc>
          <w:tcPr>
            <w:tcW w:type="dxa" w:w="2176"/>
            <w:shd w:fill="F5F5F5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176"/>
            <w:shd w:fill="F5F5F5"/>
          </w:tcPr>
          <w:p>
            <w:r>
              <w:rPr>
                <w:sz w:val="18"/>
              </w:rPr>
              <w:t>€1.00</w:t>
            </w:r>
          </w:p>
        </w:tc>
        <w:tc>
          <w:tcPr>
            <w:tcW w:type="dxa" w:w="2176"/>
            <w:shd w:fill="FFE6E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76"/>
          </w:tcPr>
          <w:p>
            <w:r>
              <w:rPr>
                <w:sz w:val="18"/>
              </w:rPr>
              <w:t>parfum cadeau</w:t>
            </w:r>
          </w:p>
        </w:tc>
        <w:tc>
          <w:tcPr>
            <w:tcW w:type="dxa" w:w="2176"/>
          </w:tcPr>
          <w:p>
            <w:r>
              <w:rPr>
                <w:sz w:val="18"/>
              </w:rPr>
              <w:t>3,600</w:t>
            </w:r>
          </w:p>
        </w:tc>
        <w:tc>
          <w:tcPr>
            <w:tcW w:type="dxa" w:w="2176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76"/>
          </w:tcPr>
          <w:p>
            <w:r>
              <w:rPr>
                <w:sz w:val="18"/>
              </w:rPr>
              <w:t>€0.90</w:t>
            </w:r>
          </w:p>
        </w:tc>
        <w:tc>
          <w:tcPr>
            <w:tcW w:type="dxa" w:w="2176"/>
            <w:shd w:fill="FFFFCC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76"/>
            <w:shd w:fill="F5F5F5"/>
          </w:tcPr>
          <w:p>
            <w:r>
              <w:rPr>
                <w:sz w:val="18"/>
              </w:rPr>
              <w:t>niche geur</w:t>
            </w:r>
          </w:p>
        </w:tc>
        <w:tc>
          <w:tcPr>
            <w:tcW w:type="dxa" w:w="2176"/>
            <w:shd w:fill="F5F5F5"/>
          </w:tcPr>
          <w:p>
            <w:r>
              <w:rPr>
                <w:sz w:val="18"/>
              </w:rPr>
              <w:t>2,100</w:t>
            </w:r>
          </w:p>
        </w:tc>
        <w:tc>
          <w:tcPr>
            <w:tcW w:type="dxa" w:w="2176"/>
            <w:shd w:fill="F5F5F5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176"/>
            <w:shd w:fill="F5F5F5"/>
          </w:tcPr>
          <w:p>
            <w:r>
              <w:rPr>
                <w:sz w:val="18"/>
              </w:rPr>
              <w:t>€0.80</w:t>
            </w:r>
          </w:p>
        </w:tc>
        <w:tc>
          <w:tcPr>
            <w:tcW w:type="dxa" w:w="2176"/>
            <w:shd w:fill="FFE6E6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76"/>
          </w:tcPr>
          <w:p>
            <w:r>
              <w:rPr>
                <w:sz w:val="18"/>
              </w:rPr>
              <w:t>geïnspireerde parfums</w:t>
            </w:r>
          </w:p>
        </w:tc>
        <w:tc>
          <w:tcPr>
            <w:tcW w:type="dxa" w:w="2176"/>
          </w:tcPr>
          <w:p>
            <w:r>
              <w:rPr>
                <w:sz w:val="18"/>
              </w:rPr>
              <w:t>1,800</w:t>
            </w:r>
          </w:p>
        </w:tc>
        <w:tc>
          <w:tcPr>
            <w:tcW w:type="dxa" w:w="2176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76"/>
          </w:tcPr>
          <w:p>
            <w:r>
              <w:rPr>
                <w:sz w:val="18"/>
              </w:rPr>
              <w:t>€0.70</w:t>
            </w:r>
          </w:p>
        </w:tc>
        <w:tc>
          <w:tcPr>
            <w:tcW w:type="dxa" w:w="2176"/>
            <w:shd w:fill="FFFFCC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76"/>
            <w:shd w:fill="F5F5F5"/>
          </w:tcPr>
          <w:p>
            <w:r>
              <w:rPr>
                <w:sz w:val="18"/>
              </w:rPr>
              <w:t>niche parfum nederland</w:t>
            </w:r>
          </w:p>
        </w:tc>
        <w:tc>
          <w:tcPr>
            <w:tcW w:type="dxa" w:w="2176"/>
            <w:shd w:fill="F5F5F5"/>
          </w:tcPr>
          <w:p>
            <w:r>
              <w:rPr>
                <w:sz w:val="18"/>
              </w:rPr>
              <w:t>1,200</w:t>
            </w:r>
          </w:p>
        </w:tc>
        <w:tc>
          <w:tcPr>
            <w:tcW w:type="dxa" w:w="2176"/>
            <w:shd w:fill="F5F5F5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76"/>
            <w:shd w:fill="F5F5F5"/>
          </w:tcPr>
          <w:p>
            <w:r>
              <w:rPr>
                <w:sz w:val="18"/>
              </w:rPr>
              <w:t>€0.75</w:t>
            </w:r>
          </w:p>
        </w:tc>
        <w:tc>
          <w:tcPr>
            <w:tcW w:type="dxa" w:w="2176"/>
            <w:shd w:fill="FFFFCC"/>
          </w:tcPr>
          <w:p>
            <w:r>
              <w:rPr>
                <w:sz w:val="18"/>
              </w:rPr>
              <w:t>MEDIUM</w:t>
            </w:r>
          </w:p>
        </w:tc>
      </w:tr>
    </w:tbl>
    <w:p>
      <w:r>
        <w:t>Total Monthly Search Volume: 51,220 searches/month (Top 15 Dutch keywords)</w:t>
      </w:r>
    </w:p>
    <w:p>
      <w:pPr>
        <w:pStyle w:val="Heading3"/>
      </w:pPr>
      <w:r>
        <w:t>3.2 Search Volume by Keyword Difficulty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2720"/>
            <w:shd w:fill="0066CC"/>
          </w:tcPr>
          <w:p>
            <w:r>
              <w:rPr>
                <w:b/>
                <w:color w:val="FFFFFF"/>
              </w:rPr>
              <w:t>Difficulty Level</w:t>
            </w:r>
          </w:p>
        </w:tc>
        <w:tc>
          <w:tcPr>
            <w:tcW w:type="dxa" w:w="2720"/>
            <w:shd w:fill="0066CC"/>
          </w:tcPr>
          <w:p>
            <w:r>
              <w:rPr>
                <w:b/>
                <w:color w:val="FFFFFF"/>
              </w:rPr>
              <w:t>Keywords</w:t>
            </w:r>
          </w:p>
        </w:tc>
        <w:tc>
          <w:tcPr>
            <w:tcW w:type="dxa" w:w="2720"/>
            <w:shd w:fill="0066CC"/>
          </w:tcPr>
          <w:p>
            <w:r>
              <w:rPr>
                <w:b/>
                <w:color w:val="FFFFFF"/>
              </w:rPr>
              <w:t>Avg. Volume</w:t>
            </w:r>
          </w:p>
        </w:tc>
        <w:tc>
          <w:tcPr>
            <w:tcW w:type="dxa" w:w="2720"/>
            <w:shd w:fill="0066CC"/>
          </w:tcPr>
          <w:p>
            <w:r>
              <w:rPr>
                <w:b/>
                <w:color w:val="FFFFFF"/>
              </w:rPr>
              <w:t>Total Volume</w:t>
            </w:r>
          </w:p>
        </w:tc>
      </w:tr>
      <w:tr>
        <w:tc>
          <w:tcPr>
            <w:tcW w:type="dxa" w:w="2720"/>
          </w:tcPr>
          <w:p>
            <w:r>
              <w:t>Easy (0–20)</w:t>
            </w:r>
          </w:p>
        </w:tc>
        <w:tc>
          <w:tcPr>
            <w:tcW w:type="dxa" w:w="2720"/>
          </w:tcPr>
          <w:p>
            <w:r>
              <w:t>5</w:t>
            </w:r>
          </w:p>
        </w:tc>
        <w:tc>
          <w:tcPr>
            <w:tcW w:type="dxa" w:w="2720"/>
          </w:tcPr>
          <w:p>
            <w:r>
              <w:t>340</w:t>
            </w:r>
          </w:p>
        </w:tc>
        <w:tc>
          <w:tcPr>
            <w:tcW w:type="dxa" w:w="2720"/>
          </w:tcPr>
          <w:p>
            <w:r>
              <w:t>1,700</w:t>
            </w:r>
          </w:p>
        </w:tc>
      </w:tr>
      <w:tr>
        <w:tc>
          <w:tcPr>
            <w:tcW w:type="dxa" w:w="2720"/>
            <w:shd w:fill="E6F0FF"/>
          </w:tcPr>
          <w:p>
            <w:r>
              <w:t>Easy-Medium (21–35)</w:t>
            </w:r>
          </w:p>
        </w:tc>
        <w:tc>
          <w:tcPr>
            <w:tcW w:type="dxa" w:w="2720"/>
            <w:shd w:fill="E6F0FF"/>
          </w:tcPr>
          <w:p>
            <w:r>
              <w:t>8</w:t>
            </w:r>
          </w:p>
        </w:tc>
        <w:tc>
          <w:tcPr>
            <w:tcW w:type="dxa" w:w="2720"/>
            <w:shd w:fill="E6F0FF"/>
          </w:tcPr>
          <w:p>
            <w:r>
              <w:t>520</w:t>
            </w:r>
          </w:p>
        </w:tc>
        <w:tc>
          <w:tcPr>
            <w:tcW w:type="dxa" w:w="2720"/>
            <w:shd w:fill="E6F0FF"/>
          </w:tcPr>
          <w:p>
            <w:r>
              <w:t>4,160</w:t>
            </w:r>
          </w:p>
        </w:tc>
      </w:tr>
      <w:tr>
        <w:tc>
          <w:tcPr>
            <w:tcW w:type="dxa" w:w="2720"/>
          </w:tcPr>
          <w:p>
            <w:r>
              <w:t>Medium (36–50)</w:t>
            </w:r>
          </w:p>
        </w:tc>
        <w:tc>
          <w:tcPr>
            <w:tcW w:type="dxa" w:w="2720"/>
          </w:tcPr>
          <w:p>
            <w:r>
              <w:t>12</w:t>
            </w:r>
          </w:p>
        </w:tc>
        <w:tc>
          <w:tcPr>
            <w:tcW w:type="dxa" w:w="2720"/>
          </w:tcPr>
          <w:p>
            <w:r>
              <w:t>1,850</w:t>
            </w:r>
          </w:p>
        </w:tc>
        <w:tc>
          <w:tcPr>
            <w:tcW w:type="dxa" w:w="2720"/>
          </w:tcPr>
          <w:p>
            <w:r>
              <w:t>22,200</w:t>
            </w:r>
          </w:p>
        </w:tc>
      </w:tr>
      <w:tr>
        <w:tc>
          <w:tcPr>
            <w:tcW w:type="dxa" w:w="2720"/>
            <w:shd w:fill="E6F0FF"/>
          </w:tcPr>
          <w:p>
            <w:r>
              <w:t>Medium-Hard (51–65)</w:t>
            </w:r>
          </w:p>
        </w:tc>
        <w:tc>
          <w:tcPr>
            <w:tcW w:type="dxa" w:w="2720"/>
            <w:shd w:fill="E6F0FF"/>
          </w:tcPr>
          <w:p>
            <w:r>
              <w:t>8</w:t>
            </w:r>
          </w:p>
        </w:tc>
        <w:tc>
          <w:tcPr>
            <w:tcW w:type="dxa" w:w="2720"/>
            <w:shd w:fill="E6F0FF"/>
          </w:tcPr>
          <w:p>
            <w:r>
              <w:t>3,200</w:t>
            </w:r>
          </w:p>
        </w:tc>
        <w:tc>
          <w:tcPr>
            <w:tcW w:type="dxa" w:w="2720"/>
            <w:shd w:fill="E6F0FF"/>
          </w:tcPr>
          <w:p>
            <w:r>
              <w:t>25,600</w:t>
            </w:r>
          </w:p>
        </w:tc>
      </w:tr>
      <w:tr>
        <w:tc>
          <w:tcPr>
            <w:tcW w:type="dxa" w:w="2720"/>
          </w:tcPr>
          <w:p>
            <w:r>
              <w:t>Hard (66–75)</w:t>
            </w:r>
          </w:p>
        </w:tc>
        <w:tc>
          <w:tcPr>
            <w:tcW w:type="dxa" w:w="2720"/>
          </w:tcPr>
          <w:p>
            <w:r>
              <w:t>7</w:t>
            </w:r>
          </w:p>
        </w:tc>
        <w:tc>
          <w:tcPr>
            <w:tcW w:type="dxa" w:w="2720"/>
          </w:tcPr>
          <w:p>
            <w:r>
              <w:t>5,100</w:t>
            </w:r>
          </w:p>
        </w:tc>
        <w:tc>
          <w:tcPr>
            <w:tcW w:type="dxa" w:w="2720"/>
          </w:tcPr>
          <w:p>
            <w:r>
              <w:t>35,700</w:t>
            </w:r>
          </w:p>
        </w:tc>
      </w:tr>
      <w:tr>
        <w:tc>
          <w:tcPr>
            <w:tcW w:type="dxa" w:w="2720"/>
            <w:shd w:fill="E6F0FF"/>
          </w:tcPr>
          <w:p>
            <w:r>
              <w:t>Very Hard (76+)</w:t>
            </w:r>
          </w:p>
        </w:tc>
        <w:tc>
          <w:tcPr>
            <w:tcW w:type="dxa" w:w="2720"/>
            <w:shd w:fill="E6F0FF"/>
          </w:tcPr>
          <w:p>
            <w:r>
              <w:t>2</w:t>
            </w:r>
          </w:p>
        </w:tc>
        <w:tc>
          <w:tcPr>
            <w:tcW w:type="dxa" w:w="2720"/>
            <w:shd w:fill="E6F0FF"/>
          </w:tcPr>
          <w:p>
            <w:r>
              <w:t>6,800</w:t>
            </w:r>
          </w:p>
        </w:tc>
        <w:tc>
          <w:tcPr>
            <w:tcW w:type="dxa" w:w="2720"/>
            <w:shd w:fill="E6F0FF"/>
          </w:tcPr>
          <w:p>
            <w:r>
              <w:t>13,600</w:t>
            </w:r>
          </w:p>
        </w:tc>
      </w:tr>
    </w:tbl>
    <w:p>
      <w:r>
        <w:br w:type="page"/>
      </w:r>
    </w:p>
    <w:p>
      <w:pPr>
        <w:pStyle w:val="Heading2"/>
      </w:pPr>
      <w:r>
        <w:t>Section 4: Visual Analytics &amp; Projections</w:t>
      </w:r>
    </w:p>
    <w:p>
      <w:pPr>
        <w:pStyle w:val="Heading3"/>
      </w:pPr>
      <w:r>
        <w:t>4.1 6-Month SEO Performance Projections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6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gello_seo_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63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 Keyword &amp; Content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52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gello_keyword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2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Section 5: 6-Month SEO Growth Plan</w:t>
      </w:r>
    </w:p>
    <w:p>
      <w:pPr>
        <w:pStyle w:val="Heading3"/>
      </w:pPr>
      <w:r>
        <w:t>5.1 Phase 1: Foundation (Months 1–2)</w:t>
      </w:r>
    </w:p>
    <w:p>
      <w:r>
        <w:t>Objective: Establish technical SEO foundation and optimize existing content</w:t>
      </w:r>
    </w:p>
    <w:p>
      <w:pPr>
        <w:pStyle w:val="Heading4"/>
      </w:pPr>
      <w:r>
        <w:t>Month 1: Technical Audit &amp; Infrastructure</w:t>
      </w:r>
    </w:p>
    <w:p>
      <w:pPr>
        <w:pStyle w:val="ListBullet"/>
      </w:pPr>
      <w:r>
        <w:t>Site crawl analysis, mobile optimization, page speed audit</w:t>
      </w:r>
    </w:p>
    <w:p>
      <w:pPr>
        <w:pStyle w:val="ListBullet"/>
      </w:pPr>
      <w:r>
        <w:t>Security audit (SSL, HTTPS), robots.txt review, sitemap analysis</w:t>
      </w:r>
    </w:p>
    <w:p>
      <w:pPr>
        <w:pStyle w:val="ListBullet"/>
      </w:pPr>
      <w:r>
        <w:t>Meta titles/descriptions optimization (all 35–40 pages)</w:t>
      </w:r>
    </w:p>
    <w:p>
      <w:pPr>
        <w:pStyle w:val="ListBullet"/>
      </w:pPr>
      <w:r>
        <w:t>Schema markup implementation (Product, LocalBusiness, Organization)</w:t>
      </w:r>
    </w:p>
    <w:p>
      <w:pPr>
        <w:pStyle w:val="Heading4"/>
      </w:pPr>
      <w:r>
        <w:t>Month 2: Content Expansion &amp; Link Building</w:t>
      </w:r>
    </w:p>
    <w:p>
      <w:pPr>
        <w:pStyle w:val="ListBullet"/>
      </w:pPr>
      <w:r>
        <w:t>Expand homepage content (80 → 300+ words)</w:t>
      </w:r>
    </w:p>
    <w:p>
      <w:pPr>
        <w:pStyle w:val="ListBullet"/>
      </w:pPr>
      <w:r>
        <w:t>Expand product descriptions (50 → 150–200 words each)</w:t>
      </w:r>
    </w:p>
    <w:p>
      <w:pPr>
        <w:pStyle w:val="ListBullet"/>
      </w:pPr>
      <w:r>
        <w:t>Create 5–10 fragrance guide pages</w:t>
      </w:r>
    </w:p>
    <w:p>
      <w:pPr>
        <w:pStyle w:val="ListBullet"/>
      </w:pPr>
      <w:r>
        <w:t>Google Business Profile optimization</w:t>
      </w:r>
    </w:p>
    <w:p>
      <w:pPr>
        <w:pStyle w:val="ListBullet"/>
      </w:pPr>
      <w:r>
        <w:t>Local citation building (10–15 directories)</w:t>
      </w:r>
    </w:p>
    <w:p>
      <w:pPr>
        <w:pStyle w:val="ListBullet"/>
      </w:pPr>
      <w:r>
        <w:t>Initial backlink outreach (5–10 links)</w:t>
      </w:r>
    </w:p>
    <w:p>
      <w:pPr>
        <w:pStyle w:val="Heading3"/>
      </w:pPr>
      <w:r>
        <w:t>5.2 Phase 2: Content Expansion (Months 2–4)</w:t>
      </w:r>
    </w:p>
    <w:p>
      <w:r>
        <w:t>Objective: Build authority through content creation and link building</w:t>
      </w:r>
    </w:p>
    <w:p>
      <w:pPr>
        <w:pStyle w:val="ListBullet"/>
      </w:pPr>
      <w:r>
        <w:t>Create 20–30 fragrance guide pages (800–1,200 words each)</w:t>
      </w:r>
    </w:p>
    <w:p>
      <w:pPr>
        <w:pStyle w:val="ListBullet"/>
      </w:pPr>
      <w:r>
        <w:t>Create 10–15 product comparison pages</w:t>
      </w:r>
    </w:p>
    <w:p>
      <w:pPr>
        <w:pStyle w:val="ListBullet"/>
      </w:pPr>
      <w:r>
        <w:t>Create 5–10 seasonal/occasion guides</w:t>
      </w:r>
    </w:p>
    <w:p>
      <w:pPr>
        <w:pStyle w:val="ListBullet"/>
      </w:pPr>
      <w:r>
        <w:t>Outreach to 30–50 fragrance blogs</w:t>
      </w:r>
    </w:p>
    <w:p>
      <w:pPr>
        <w:pStyle w:val="ListBullet"/>
      </w:pPr>
      <w:r>
        <w:t>Guest posting on 5–10 niche publications</w:t>
      </w:r>
    </w:p>
    <w:p>
      <w:pPr>
        <w:pStyle w:val="ListBullet"/>
      </w:pPr>
      <w:r>
        <w:t>Build 20–30 backlinks from Dutch publications</w:t>
      </w:r>
    </w:p>
    <w:p>
      <w:pPr>
        <w:pStyle w:val="Heading3"/>
      </w:pPr>
      <w:r>
        <w:t>5.3 Phase 3: Authority Building (Months 4–6)</w:t>
      </w:r>
    </w:p>
    <w:p>
      <w:r>
        <w:t>Objective: Establish topical authority and local dominance</w:t>
      </w:r>
    </w:p>
    <w:p>
      <w:pPr>
        <w:pStyle w:val="ListBullet"/>
      </w:pPr>
      <w:r>
        <w:t>Create 20–30 advanced fragrance content pieces</w:t>
      </w:r>
    </w:p>
    <w:p>
      <w:pPr>
        <w:pStyle w:val="ListBullet"/>
      </w:pPr>
      <w:r>
        <w:t>Develop fragrance expert positioning</w:t>
      </w:r>
    </w:p>
    <w:p>
      <w:pPr>
        <w:pStyle w:val="ListBullet"/>
      </w:pPr>
      <w:r>
        <w:t>Create video content (YouTube shorts, TikTok)</w:t>
      </w:r>
    </w:p>
    <w:p>
      <w:pPr>
        <w:pStyle w:val="ListBullet"/>
      </w:pPr>
      <w:r>
        <w:t>Outreach to fragrance influencers (10–15)</w:t>
      </w:r>
    </w:p>
    <w:p>
      <w:pPr>
        <w:pStyle w:val="ListBullet"/>
      </w:pPr>
      <w:r>
        <w:t>Guest posting on 10–15 publications</w:t>
      </w:r>
    </w:p>
    <w:p>
      <w:pPr>
        <w:pStyle w:val="ListBullet"/>
      </w:pPr>
      <w:r>
        <w:t>Press release distribution (3–5 releases)</w:t>
      </w:r>
    </w:p>
    <w:p>
      <w:pPr>
        <w:pStyle w:val="ListBullet"/>
      </w:pPr>
      <w:r>
        <w:t>Local media outreach (5–10 local outlets)</w:t>
      </w:r>
    </w:p>
    <w:p>
      <w:pPr>
        <w:pStyle w:val="ListBullet"/>
      </w:pPr>
      <w:r>
        <w:t>Build 30–50 additional backlinks</w:t>
      </w:r>
    </w:p>
    <w:p>
      <w:r>
        <w:br w:type="page"/>
      </w:r>
    </w:p>
    <w:p>
      <w:pPr>
        <w:pStyle w:val="Heading2"/>
      </w:pPr>
      <w:r>
        <w:t>Section 6: Traffic &amp; Revenue Projections</w:t>
      </w:r>
    </w:p>
    <w:p>
      <w:pPr>
        <w:pStyle w:val="Heading3"/>
      </w:pPr>
      <w:r>
        <w:t>6.1 6-Month Traffic Forecast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2720"/>
            <w:shd w:fill="00CC66"/>
          </w:tcPr>
          <w:p>
            <w:r>
              <w:rPr>
                <w:b/>
                <w:color w:val="FFFFFF"/>
              </w:rPr>
              <w:t>Month</w:t>
            </w:r>
          </w:p>
        </w:tc>
        <w:tc>
          <w:tcPr>
            <w:tcW w:type="dxa" w:w="2720"/>
            <w:shd w:fill="00CC66"/>
          </w:tcPr>
          <w:p>
            <w:r>
              <w:rPr>
                <w:b/>
                <w:color w:val="FFFFFF"/>
              </w:rPr>
              <w:t>Keywords Ranking</w:t>
            </w:r>
          </w:p>
        </w:tc>
        <w:tc>
          <w:tcPr>
            <w:tcW w:type="dxa" w:w="2720"/>
            <w:shd w:fill="00CC66"/>
          </w:tcPr>
          <w:p>
            <w:r>
              <w:rPr>
                <w:b/>
                <w:color w:val="FFFFFF"/>
              </w:rPr>
              <w:t>Est. Traffic</w:t>
            </w:r>
          </w:p>
        </w:tc>
        <w:tc>
          <w:tcPr>
            <w:tcW w:type="dxa" w:w="2720"/>
            <w:shd w:fill="00CC66"/>
          </w:tcPr>
          <w:p>
            <w:r>
              <w:rPr>
                <w:b/>
                <w:color w:val="FFFFFF"/>
              </w:rPr>
              <w:t>Est. Revenue</w:t>
            </w:r>
          </w:p>
        </w:tc>
      </w:tr>
      <w:tr>
        <w:tc>
          <w:tcPr>
            <w:tcW w:type="dxa" w:w="2720"/>
          </w:tcPr>
          <w:p>
            <w:r>
              <w:t>Month 1</w:t>
            </w:r>
          </w:p>
        </w:tc>
        <w:tc>
          <w:tcPr>
            <w:tcW w:type="dxa" w:w="2720"/>
          </w:tcPr>
          <w:p>
            <w:r>
              <w:t>0–3</w:t>
            </w:r>
          </w:p>
        </w:tc>
        <w:tc>
          <w:tcPr>
            <w:tcW w:type="dxa" w:w="2720"/>
          </w:tcPr>
          <w:p>
            <w:r>
              <w:t>50–150</w:t>
            </w:r>
          </w:p>
        </w:tc>
        <w:tc>
          <w:tcPr>
            <w:tcW w:type="dxa" w:w="2720"/>
          </w:tcPr>
          <w:p>
            <w:r>
              <w:t>€60</w:t>
            </w:r>
          </w:p>
        </w:tc>
      </w:tr>
      <w:tr>
        <w:tc>
          <w:tcPr>
            <w:tcW w:type="dxa" w:w="2720"/>
            <w:shd w:fill="E6FFE6"/>
          </w:tcPr>
          <w:p>
            <w:r>
              <w:t>Month 2</w:t>
            </w:r>
          </w:p>
        </w:tc>
        <w:tc>
          <w:tcPr>
            <w:tcW w:type="dxa" w:w="2720"/>
            <w:shd w:fill="E6FFE6"/>
          </w:tcPr>
          <w:p>
            <w:r>
              <w:t>3–8</w:t>
            </w:r>
          </w:p>
        </w:tc>
        <w:tc>
          <w:tcPr>
            <w:tcW w:type="dxa" w:w="2720"/>
            <w:shd w:fill="E6FFE6"/>
          </w:tcPr>
          <w:p>
            <w:r>
              <w:t>200–400</w:t>
            </w:r>
          </w:p>
        </w:tc>
        <w:tc>
          <w:tcPr>
            <w:tcW w:type="dxa" w:w="2720"/>
            <w:shd w:fill="E6FFE6"/>
          </w:tcPr>
          <w:p>
            <w:r>
              <w:t>€240–300</w:t>
            </w:r>
          </w:p>
        </w:tc>
      </w:tr>
      <w:tr>
        <w:tc>
          <w:tcPr>
            <w:tcW w:type="dxa" w:w="2720"/>
          </w:tcPr>
          <w:p>
            <w:r>
              <w:t>Month 3</w:t>
            </w:r>
          </w:p>
        </w:tc>
        <w:tc>
          <w:tcPr>
            <w:tcW w:type="dxa" w:w="2720"/>
          </w:tcPr>
          <w:p>
            <w:r>
              <w:t>8–15</w:t>
            </w:r>
          </w:p>
        </w:tc>
        <w:tc>
          <w:tcPr>
            <w:tcW w:type="dxa" w:w="2720"/>
          </w:tcPr>
          <w:p>
            <w:r>
              <w:t>500–800</w:t>
            </w:r>
          </w:p>
        </w:tc>
        <w:tc>
          <w:tcPr>
            <w:tcW w:type="dxa" w:w="2720"/>
          </w:tcPr>
          <w:p>
            <w:r>
              <w:t>€780</w:t>
            </w:r>
          </w:p>
        </w:tc>
      </w:tr>
      <w:tr>
        <w:tc>
          <w:tcPr>
            <w:tcW w:type="dxa" w:w="2720"/>
            <w:shd w:fill="E6FFE6"/>
          </w:tcPr>
          <w:p>
            <w:r>
              <w:t>Month 4</w:t>
            </w:r>
          </w:p>
        </w:tc>
        <w:tc>
          <w:tcPr>
            <w:tcW w:type="dxa" w:w="2720"/>
            <w:shd w:fill="E6FFE6"/>
          </w:tcPr>
          <w:p>
            <w:r>
              <w:t>15–20</w:t>
            </w:r>
          </w:p>
        </w:tc>
        <w:tc>
          <w:tcPr>
            <w:tcW w:type="dxa" w:w="2720"/>
            <w:shd w:fill="E6FFE6"/>
          </w:tcPr>
          <w:p>
            <w:r>
              <w:t>1,000–1,500</w:t>
            </w:r>
          </w:p>
        </w:tc>
        <w:tc>
          <w:tcPr>
            <w:tcW w:type="dxa" w:w="2720"/>
            <w:shd w:fill="E6FFE6"/>
          </w:tcPr>
          <w:p>
            <w:r>
              <w:t>€1,625</w:t>
            </w:r>
          </w:p>
        </w:tc>
      </w:tr>
      <w:tr>
        <w:tc>
          <w:tcPr>
            <w:tcW w:type="dxa" w:w="2720"/>
          </w:tcPr>
          <w:p>
            <w:r>
              <w:t>Month 5</w:t>
            </w:r>
          </w:p>
        </w:tc>
        <w:tc>
          <w:tcPr>
            <w:tcW w:type="dxa" w:w="2720"/>
          </w:tcPr>
          <w:p>
            <w:r>
              <w:t>20–28</w:t>
            </w:r>
          </w:p>
        </w:tc>
        <w:tc>
          <w:tcPr>
            <w:tcW w:type="dxa" w:w="2720"/>
          </w:tcPr>
          <w:p>
            <w:r>
              <w:t>1,500–2,000</w:t>
            </w:r>
          </w:p>
        </w:tc>
        <w:tc>
          <w:tcPr>
            <w:tcW w:type="dxa" w:w="2720"/>
          </w:tcPr>
          <w:p>
            <w:r>
              <w:t>€2,860</w:t>
            </w:r>
          </w:p>
        </w:tc>
      </w:tr>
      <w:tr>
        <w:tc>
          <w:tcPr>
            <w:tcW w:type="dxa" w:w="2720"/>
            <w:shd w:fill="E6FFE6"/>
          </w:tcPr>
          <w:p>
            <w:r>
              <w:t>Month 6</w:t>
            </w:r>
          </w:p>
        </w:tc>
        <w:tc>
          <w:tcPr>
            <w:tcW w:type="dxa" w:w="2720"/>
            <w:shd w:fill="E6FFE6"/>
          </w:tcPr>
          <w:p>
            <w:r>
              <w:t>28–35</w:t>
            </w:r>
          </w:p>
        </w:tc>
        <w:tc>
          <w:tcPr>
            <w:tcW w:type="dxa" w:w="2720"/>
            <w:shd w:fill="E6FFE6"/>
          </w:tcPr>
          <w:p>
            <w:r>
              <w:t>2,000–3,000</w:t>
            </w:r>
          </w:p>
        </w:tc>
        <w:tc>
          <w:tcPr>
            <w:tcW w:type="dxa" w:w="2720"/>
            <w:shd w:fill="E6FFE6"/>
          </w:tcPr>
          <w:p>
            <w:r>
              <w:t>€4,340–4,410</w:t>
            </w:r>
          </w:p>
        </w:tc>
      </w:tr>
    </w:tbl>
    <w:p>
      <w:pPr>
        <w:pStyle w:val="Heading3"/>
      </w:pPr>
      <w:r>
        <w:t>6.2 ROI &amp; Payback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2720"/>
            <w:shd w:fill="9933FF"/>
          </w:tcPr>
          <w:p>
            <w:r>
              <w:rPr>
                <w:b/>
                <w:color w:val="FFFFFF"/>
              </w:rPr>
              <w:t>Month</w:t>
            </w:r>
          </w:p>
        </w:tc>
        <w:tc>
          <w:tcPr>
            <w:tcW w:type="dxa" w:w="2720"/>
            <w:shd w:fill="9933FF"/>
          </w:tcPr>
          <w:p>
            <w:r>
              <w:rPr>
                <w:b/>
                <w:color w:val="FFFFFF"/>
              </w:rPr>
              <w:t>Revenue</w:t>
            </w:r>
          </w:p>
        </w:tc>
        <w:tc>
          <w:tcPr>
            <w:tcW w:type="dxa" w:w="2720"/>
            <w:shd w:fill="9933FF"/>
          </w:tcPr>
          <w:p>
            <w:r>
              <w:rPr>
                <w:b/>
                <w:color w:val="FFFFFF"/>
              </w:rPr>
              <w:t>Investment</w:t>
            </w:r>
          </w:p>
        </w:tc>
        <w:tc>
          <w:tcPr>
            <w:tcW w:type="dxa" w:w="2720"/>
            <w:shd w:fill="9933FF"/>
          </w:tcPr>
          <w:p>
            <w:r>
              <w:rPr>
                <w:b/>
                <w:color w:val="FFFFFF"/>
              </w:rPr>
              <w:t>ROI</w:t>
            </w:r>
          </w:p>
        </w:tc>
      </w:tr>
      <w:tr>
        <w:tc>
          <w:tcPr>
            <w:tcW w:type="dxa" w:w="2720"/>
          </w:tcPr>
          <w:p>
            <w:r>
              <w:t>Month 1</w:t>
            </w:r>
          </w:p>
        </w:tc>
        <w:tc>
          <w:tcPr>
            <w:tcW w:type="dxa" w:w="2720"/>
          </w:tcPr>
          <w:p>
            <w:r>
              <w:t>€60</w:t>
            </w:r>
          </w:p>
        </w:tc>
        <w:tc>
          <w:tcPr>
            <w:tcW w:type="dxa" w:w="2720"/>
          </w:tcPr>
          <w:p>
            <w:r>
              <w:t>€880</w:t>
            </w:r>
          </w:p>
        </w:tc>
        <w:tc>
          <w:tcPr>
            <w:tcW w:type="dxa" w:w="2720"/>
            <w:shd w:fill="FFE6E6"/>
          </w:tcPr>
          <w:p>
            <w:r>
              <w:t>-93%</w:t>
            </w:r>
          </w:p>
        </w:tc>
      </w:tr>
      <w:tr>
        <w:tc>
          <w:tcPr>
            <w:tcW w:type="dxa" w:w="2720"/>
          </w:tcPr>
          <w:p>
            <w:r>
              <w:t>Month 2</w:t>
            </w:r>
          </w:p>
        </w:tc>
        <w:tc>
          <w:tcPr>
            <w:tcW w:type="dxa" w:w="2720"/>
            <w:shd w:fill="F5F5F5"/>
          </w:tcPr>
          <w:p>
            <w:r>
              <w:t>€210</w:t>
            </w:r>
          </w:p>
        </w:tc>
        <w:tc>
          <w:tcPr>
            <w:tcW w:type="dxa" w:w="2720"/>
            <w:shd w:fill="F5F5F5"/>
          </w:tcPr>
          <w:p>
            <w:r>
              <w:t>€880</w:t>
            </w:r>
          </w:p>
        </w:tc>
        <w:tc>
          <w:tcPr>
            <w:tcW w:type="dxa" w:w="2720"/>
            <w:shd w:fill="FFE6E6"/>
          </w:tcPr>
          <w:p>
            <w:r>
              <w:t>-76%</w:t>
            </w:r>
          </w:p>
        </w:tc>
      </w:tr>
      <w:tr>
        <w:tc>
          <w:tcPr>
            <w:tcW w:type="dxa" w:w="2720"/>
          </w:tcPr>
          <w:p>
            <w:r>
              <w:t>Month 3</w:t>
            </w:r>
          </w:p>
        </w:tc>
        <w:tc>
          <w:tcPr>
            <w:tcW w:type="dxa" w:w="2720"/>
          </w:tcPr>
          <w:p>
            <w:r>
              <w:t>€660</w:t>
            </w:r>
          </w:p>
        </w:tc>
        <w:tc>
          <w:tcPr>
            <w:tcW w:type="dxa" w:w="2720"/>
          </w:tcPr>
          <w:p>
            <w:r>
              <w:t>€880</w:t>
            </w:r>
          </w:p>
        </w:tc>
        <w:tc>
          <w:tcPr>
            <w:tcW w:type="dxa" w:w="2720"/>
            <w:shd w:fill="FFE6E6"/>
          </w:tcPr>
          <w:p>
            <w:r>
              <w:t>-25%</w:t>
            </w:r>
          </w:p>
        </w:tc>
      </w:tr>
      <w:tr>
        <w:tc>
          <w:tcPr>
            <w:tcW w:type="dxa" w:w="2720"/>
          </w:tcPr>
          <w:p>
            <w:r>
              <w:t>Month 4</w:t>
            </w:r>
          </w:p>
        </w:tc>
        <w:tc>
          <w:tcPr>
            <w:tcW w:type="dxa" w:w="2720"/>
            <w:shd w:fill="F5F5F5"/>
          </w:tcPr>
          <w:p>
            <w:r>
              <w:t>€1,300</w:t>
            </w:r>
          </w:p>
        </w:tc>
        <w:tc>
          <w:tcPr>
            <w:tcW w:type="dxa" w:w="2720"/>
            <w:shd w:fill="F5F5F5"/>
          </w:tcPr>
          <w:p>
            <w:r>
              <w:t>€880</w:t>
            </w:r>
          </w:p>
        </w:tc>
        <w:tc>
          <w:tcPr>
            <w:tcW w:type="dxa" w:w="2720"/>
            <w:shd w:fill="E6FFE6"/>
          </w:tcPr>
          <w:p>
            <w:r>
              <w:t>+48%</w:t>
            </w:r>
          </w:p>
        </w:tc>
      </w:tr>
      <w:tr>
        <w:tc>
          <w:tcPr>
            <w:tcW w:type="dxa" w:w="2720"/>
          </w:tcPr>
          <w:p>
            <w:r>
              <w:t>Month 5</w:t>
            </w:r>
          </w:p>
        </w:tc>
        <w:tc>
          <w:tcPr>
            <w:tcW w:type="dxa" w:w="2720"/>
          </w:tcPr>
          <w:p>
            <w:r>
              <w:t>€2,437</w:t>
            </w:r>
          </w:p>
        </w:tc>
        <w:tc>
          <w:tcPr>
            <w:tcW w:type="dxa" w:w="2720"/>
          </w:tcPr>
          <w:p>
            <w:r>
              <w:t>€880</w:t>
            </w:r>
          </w:p>
        </w:tc>
        <w:tc>
          <w:tcPr>
            <w:tcW w:type="dxa" w:w="2720"/>
            <w:shd w:fill="E6FFE6"/>
          </w:tcPr>
          <w:p>
            <w:r>
              <w:t>+177%</w:t>
            </w:r>
          </w:p>
        </w:tc>
      </w:tr>
      <w:tr>
        <w:tc>
          <w:tcPr>
            <w:tcW w:type="dxa" w:w="2720"/>
          </w:tcPr>
          <w:p>
            <w:r>
              <w:t>Month 6</w:t>
            </w:r>
          </w:p>
        </w:tc>
        <w:tc>
          <w:tcPr>
            <w:tcW w:type="dxa" w:w="2720"/>
            <w:shd w:fill="F5F5F5"/>
          </w:tcPr>
          <w:p>
            <w:r>
              <w:t>€4,025</w:t>
            </w:r>
          </w:p>
        </w:tc>
        <w:tc>
          <w:tcPr>
            <w:tcW w:type="dxa" w:w="2720"/>
            <w:shd w:fill="F5F5F5"/>
          </w:tcPr>
          <w:p>
            <w:r>
              <w:t>€880</w:t>
            </w:r>
          </w:p>
        </w:tc>
        <w:tc>
          <w:tcPr>
            <w:tcW w:type="dxa" w:w="2720"/>
            <w:shd w:fill="E6FFE6"/>
          </w:tcPr>
          <w:p>
            <w:r>
              <w:t>+357%</w:t>
            </w:r>
          </w:p>
        </w:tc>
      </w:tr>
    </w:tbl>
    <w:p>
      <w:r>
        <w:br w:type="page"/>
      </w:r>
    </w:p>
    <w:p>
      <w:pPr>
        <w:pStyle w:val="Heading2"/>
      </w:pPr>
      <w:r>
        <w:t>Conclusion &amp; Next Steps</w:t>
      </w:r>
    </w:p>
    <w:p>
      <w:r>
        <w:t>By implementing this Netherlands-focused SEO strategy, Bargello can:</w:t>
        <w:br/>
        <w:br/>
        <w:t>✓ Capture 35+ ranking keywords in the Dutch market</w:t>
        <w:br/>
        <w:t>✓ Generate 2,000–3,000 monthly organic visits from Netherlands</w:t>
        <w:br/>
        <w:t>✓ Achieve €4,340–4,410 monthly revenue by Month 6</w:t>
        <w:br/>
        <w:t>✓ Establish local authority in Eindhoven and Brabant</w:t>
        <w:br/>
        <w:t>✓ Build 100+ backlinks from Dutch publications and local partners</w:t>
        <w:br/>
        <w:t>✓ Create 240+ indexed pages of high-quality Dutch content</w:t>
        <w:br/>
        <w:br/>
      </w:r>
    </w:p>
    <w:p>
      <w:pPr>
        <w:spacing w:before="240" w:after="240"/>
        <w:ind w:left="720" w:right="720"/>
      </w:pPr>
      <w:r>
        <w:rPr>
          <w:b/>
          <w:color w:val="0066CC"/>
          <w:sz w:val="24"/>
        </w:rPr>
        <w:t>Total 6-Month Investment: €5,300–7,300</w:t>
        <w:br/>
        <w:t>Expected ROI: 300–500%</w:t>
        <w:br/>
        <w:t>Payback Period: 1.5–2 months</w:t>
        <w:br/>
        <w:t>Strategy Duration: 6 Months (August 2026 – January 2027)</w:t>
        <w:br/>
        <w:t>Total Addressable Search Volume: 103,280 searches/month</w:t>
      </w:r>
    </w:p>
    <w:p/>
    <w:p>
      <w:pPr>
        <w:jc w:val="center"/>
      </w:pPr>
      <w:r>
        <w:rPr>
          <w:i/>
          <w:color w:val="787878"/>
          <w:sz w:val="18"/>
        </w:rPr>
        <w:t>Report Date: July 28, 2026 | Target Market: Netherlands | Language: Dutch &amp; English | Validity: 30 days</w:t>
      </w:r>
    </w:p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