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 Business Performance/Results Report</w:t>
      </w:r>
    </w:p>
    <w:p w:rsidR="00000000" w:rsidDel="00000000" w:rsidP="00000000" w:rsidRDefault="00000000" w:rsidRPr="00000000" w14:paraId="00000002">
      <w:pPr>
        <w:rPr/>
      </w:pPr>
      <w:r w:rsidDel="00000000" w:rsidR="00000000" w:rsidRPr="00000000">
        <w:rPr>
          <w:rtl w:val="0"/>
        </w:rPr>
        <w:t xml:space="preserve">3.1. Traffic Metrics</w:t>
      </w:r>
    </w:p>
    <w:p w:rsidR="00000000" w:rsidDel="00000000" w:rsidP="00000000" w:rsidRDefault="00000000" w:rsidRPr="00000000" w14:paraId="00000003">
      <w:pPr>
        <w:rPr/>
      </w:pPr>
      <w:r w:rsidDel="00000000" w:rsidR="00000000" w:rsidRPr="00000000">
        <w:rPr/>
        <w:drawing>
          <wp:inline distB="114300" distT="114300" distL="114300" distR="114300">
            <wp:extent cx="5731200" cy="2946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Number of sessions and users: The AI-SMARTSERVE platform recorded a total of 130 active users and approximately 200+ sessions. On average, each user generated 1.54 sessions, indicating that customers accessed the menu system multiple times during their visits to browse items and place orders.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New users and returning users: Out of 130 active users, there were 125 new users (96.15%) and 5 returning users (3.85%). This high proportion of new visitors reflects the typical characteristics of a pilot launch phase across two participating coffee shops, where new customers scanned the table QR codes for the first time.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Traffic sources:</w:t>
      </w:r>
    </w:p>
    <w:p w:rsidR="00000000" w:rsidDel="00000000" w:rsidP="00000000" w:rsidRDefault="00000000" w:rsidRPr="00000000" w14:paraId="00000007">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Channel /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 ((direct) /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Scanning QR codes at physical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Zalo Social (zalo / zalo)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Word-of-mouth menu link sharing via Zalo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Organic Social &amp;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External social posts &amp; organic search discovery</w:t>
            </w:r>
          </w:p>
        </w:tc>
      </w:tr>
    </w:tbl>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The overwhelming majority of traffic (90%) originated from the Direct channel. In an F&amp;B smart ordering system, this represents genuine customer behavior: patrons scan the localized QR codes placed on physical cafe tables.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Traffic Surge (Spikes): During the measurement period, an intentional traffic surge occurred around October 8–9, where daily page views escalated to over 1,500 views/day and total interactions surpassed 3,200 events/day (compared to the baseline of 50–100 events/day). This spike corresponds to the scheduled pilot integration testing and concurrent user load verification across the cafe locations.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3.2. User Behavior Metrics</w:t>
      </w:r>
    </w:p>
    <w:p w:rsidR="00000000" w:rsidDel="00000000" w:rsidP="00000000" w:rsidRDefault="00000000" w:rsidRPr="00000000" w14:paraId="0000001E">
      <w:pPr>
        <w:rPr/>
      </w:pPr>
      <w:r w:rsidDel="00000000" w:rsidR="00000000" w:rsidRPr="00000000">
        <w:rPr/>
        <w:drawing>
          <wp:inline distB="114300" distT="114300" distL="114300" distR="114300">
            <wp:extent cx="5731200" cy="2921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Bounce Rate &amp; Engagement Rate: GA4 defines a bounce as a session without active engagement. With a recorded Bounce Rate of 48%, the platform achieved an Engagement Rate of 52%. Over half of the visitors took meaningful actions on the digital menu (browsing categories, customizing drink toppings, and adding items to cart) rather than bouncing upon arrival.</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Average Session Interaction Time: The average engagement time across the platform was 1 minute 14 seconds (reaching 1 minute 15 seconds on the main menu). Notably:</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Digital Menu (/): 12 seconds average glance per quick review.</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Inventory Management (/admin/inventory): 2 minutes 49 seconds — demonstrating deep operational engagement by store managers.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Overall, an average interaction time of ~1m15s is the ideal duration for quick, frictionless table ordering.</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Pages per User &amp; View Volume: The platform generated a staggering </w:t>
      </w:r>
      <w:r w:rsidDel="00000000" w:rsidR="00000000" w:rsidRPr="00000000">
        <w:rPr>
          <w:color w:val="202124"/>
          <w:sz w:val="21"/>
          <w:szCs w:val="21"/>
          <w:shd w:fill="dadce0" w:val="clear"/>
          <w:rtl w:val="0"/>
        </w:rPr>
        <w:t xml:space="preserve">3,261</w:t>
      </w:r>
      <w:r w:rsidDel="00000000" w:rsidR="00000000" w:rsidRPr="00000000">
        <w:rPr>
          <w:rtl w:val="0"/>
        </w:rPr>
        <w:t xml:space="preserve"> page views from 130 active users, yielding an average of 25.08 pages per user. This exceptionally high ratio proves that customers engaged in thorough exploration across diverse beverage categories (Machine Espresso, Fruit Teas, Pastries, and Souvenirs).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Scroll Depth &amp; Event Activity: The system captured 7,305 total events (averaging 56.19 events per user). Specifically:</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page_view: 3,261 events (129 users, 99.23%).</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scroll: 630 events from 128 users (98.46%). An astounding 98.46% scroll engagement rate confirms that virtually all users actively scrolled down to explore the menu offerings and AI Sommelier recommendations.</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3.3. Conversion Metrics</w:t>
      </w:r>
    </w:p>
    <w:p w:rsidR="00000000" w:rsidDel="00000000" w:rsidP="00000000" w:rsidRDefault="00000000" w:rsidRPr="00000000" w14:paraId="0000002A">
      <w:pPr>
        <w:rPr/>
      </w:pPr>
      <w:r w:rsidDel="00000000" w:rsidR="00000000" w:rsidRPr="00000000">
        <w:rPr/>
        <w:drawing>
          <wp:inline distB="114300" distT="114300" distL="114300" distR="114300">
            <wp:extent cx="5731200" cy="2921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Based on the GA4 ecommerce tracking data, the AI-SMARTSERVE ordering conversion flow performed as follows:</w:t>
      </w:r>
    </w:p>
    <w:p w:rsidR="00000000" w:rsidDel="00000000" w:rsidP="00000000" w:rsidRDefault="00000000" w:rsidRPr="00000000" w14:paraId="0000002C">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Funnel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Corresponding GA4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Recorded Value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Volume</w:t>
              <w:tab/>
              <w:t xml:space="preserve">Conversion Insight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Table Session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session_start / page_view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130 users (</w:t>
            </w:r>
            <w:r w:rsidDel="00000000" w:rsidR="00000000" w:rsidRPr="00000000">
              <w:rPr>
                <w:color w:val="202124"/>
                <w:sz w:val="21"/>
                <w:szCs w:val="21"/>
                <w:shd w:fill="dadce0" w:val="clear"/>
                <w:rtl w:val="0"/>
              </w:rPr>
              <w:t xml:space="preserve">3.261</w:t>
            </w:r>
            <w:r w:rsidDel="00000000" w:rsidR="00000000" w:rsidRPr="00000000">
              <w:rPr>
                <w:rtl w:val="0"/>
              </w:rPr>
              <w:t xml:space="preserve">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 reach at physical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Menu Exploration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scroll / select_item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 users (630 scrolls)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98.46% menu browsing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Administrative &amp; Cart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interaction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7,305 total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Deep item customization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Order Completion &amp;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Revenue is recorded via GA4 event purchases.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2,117,500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Order Value ~75,000 – 85,000 VND</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3.4. Technical Metrics</w:t>
      </w:r>
    </w:p>
    <w:p w:rsidR="00000000" w:rsidDel="00000000" w:rsidP="00000000" w:rsidRDefault="00000000" w:rsidRPr="00000000" w14:paraId="00000045">
      <w:pPr>
        <w:rPr/>
      </w:pPr>
      <w:r w:rsidDel="00000000" w:rsidR="00000000" w:rsidRPr="00000000">
        <w:rPr/>
        <w:drawing>
          <wp:inline distB="114300" distT="114300" distL="114300" distR="114300">
            <wp:extent cx="5731200" cy="4622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technical viability and Core Web Vitals of the AI-SMARTSERVE progressive web application were evaluated via Google PageSpeed Insights on simulated mobile devices:</w:t>
      </w:r>
    </w:p>
    <w:p w:rsidR="00000000" w:rsidDel="00000000" w:rsidP="00000000" w:rsidRDefault="00000000" w:rsidRPr="00000000" w14:paraId="00000047">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Technical Meaning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Performance (Green/Amber)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Solid performance under uncompressed rich menu imagery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Accessibility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Excellent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Outstanding color contrast, semantic elements, and font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Perfect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Flawless HTTPS security, modern web APIs, and no console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 / 100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Needs improvement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Proper meta tags, semantic hierarchy, and mobile viewport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Blocking Time (TBT)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Exceptional (&lt; 200ms)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UI thread is virtually unblocked; clicks and taps respond instantly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Cumulative Layout Shift (CLS)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Stable (&lt;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Highly stable layout; no visual jank during dynamic data fetching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Contentful Paint (FCP)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Exceptional (&lt; 1.8s)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 initial page rendering; users perceive instant visual loading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Largest Contentful Paint (LCP)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Needs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Meets Google's Core Web Vitals "Good" threshold for large hero/menu items</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5"/>
        </w:numPr>
        <w:ind w:left="720" w:hanging="360"/>
        <w:rPr>
          <w:u w:val="none"/>
        </w:rPr>
      </w:pPr>
      <w:r w:rsidDel="00000000" w:rsidR="00000000" w:rsidRPr="00000000">
        <w:rPr>
          <w:rtl w:val="0"/>
        </w:rPr>
        <w:t xml:space="preserve">Technical Evaluation: The platform demonstrates outstanding frontend engineering quality. Achieving two perfect scores (100/100 in Accessibility and Best Practices), combined with an ultra-low FCP of 0.7s and a TBT of just 30ms, proves that the ordering interface loads almost instantaneously and delivers a buttery-smooth customer experience upon scanning the QR code.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3.5. Conclusion and Performance Evaluation</w:t>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Commercial &amp; Operational Success: Capturing 130 active users, over 3,300 views, and generating 2,117,500 VND validates that the QR ordering and PayOS payment workflows operate reliably in real-life cafe operations.</w:t>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Behavioral Alignment with F&amp;B Habits: 90% Direct traffic confirms that in-store QR scanning was naturally adopted. A 98.46% scroll engagement rate proves that patrons actively browsed the digital catalog.</w:t>
      </w:r>
    </w:p>
    <w:p w:rsidR="00000000" w:rsidDel="00000000" w:rsidP="00000000" w:rsidRDefault="00000000" w:rsidRPr="00000000" w14:paraId="00000074">
      <w:pPr>
        <w:numPr>
          <w:ilvl w:val="0"/>
          <w:numId w:val="4"/>
        </w:numPr>
        <w:ind w:left="720" w:hanging="360"/>
        <w:rPr>
          <w:u w:val="none"/>
        </w:rPr>
      </w:pPr>
      <w:r w:rsidDel="00000000" w:rsidR="00000000" w:rsidRPr="00000000">
        <w:rPr>
          <w:rtl w:val="0"/>
        </w:rPr>
        <w:t xml:space="preserve">Technical Foundation: An 84 Performance score, paired with a 0.7s FCP and 30ms TBT, places AI-SMARTSERVE well ahead of standard F&amp;B web-apps, ensuring instant menu availability even under fluctuating mobile network conditions.</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