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1F446C">
            <w:pPr>
              <w:pStyle w:val="2"/>
              <w:outlineLvl w:val="1"/>
            </w:pPr>
            <w:r>
              <w:t xml:space="preserve">TITLE: </w:t>
            </w:r>
            <w:r w:rsidRPr="001F446C">
              <w:t>Business Accounting</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1F446C" w:rsidRPr="001F446C">
              <w:t>Business Accounting</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BD108C" w:rsidRDefault="00255E36">
            <w:r>
              <w:rPr>
                <w:b w:val="0"/>
              </w:rPr>
              <w:t>Business</w:t>
            </w:r>
            <w:r w:rsidR="001F446C" w:rsidRPr="001F446C">
              <w:rPr>
                <w:b w:val="0"/>
              </w:rPr>
              <w:t xml:space="preserve"> accounting consists of three basic activities: identifying, recording and communicating the economic events of a company. Accountants identify economic events such as transactions and investments. Accountants use bookkeeping techniques </w:t>
            </w:r>
            <w:proofErr w:type="gramStart"/>
            <w:r w:rsidR="001F446C" w:rsidRPr="001F446C">
              <w:rPr>
                <w:b w:val="0"/>
              </w:rPr>
              <w:t>to systematically record</w:t>
            </w:r>
            <w:proofErr w:type="gramEnd"/>
            <w:r w:rsidR="001F446C" w:rsidRPr="001F446C">
              <w:rPr>
                <w:b w:val="0"/>
              </w:rPr>
              <w:t xml:space="preserve"> economic events. Finally, accountants use financial statements to present their records to people who use accounting information. Sometimes, accounting might also mean analyzing and interpreting financial statements and explaining the meaning of reported data.</w:t>
            </w:r>
          </w:p>
          <w:p w:rsidR="00BD108C" w:rsidRDefault="00BD108C"/>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6C7A5E" w:rsidRDefault="006C7A5E">
            <w:pPr>
              <w:rPr>
                <w:b w:val="0"/>
              </w:rPr>
            </w:pPr>
            <w:r>
              <w:rPr>
                <w:b w:val="0"/>
              </w:rPr>
              <w:t>Students will learn how b</w:t>
            </w:r>
            <w:r w:rsidRPr="006C7A5E">
              <w:rPr>
                <w:b w:val="0"/>
              </w:rPr>
              <w:t xml:space="preserve">usiness accounting is important </w:t>
            </w:r>
            <w:r>
              <w:rPr>
                <w:b w:val="0"/>
              </w:rPr>
              <w:t>by analyzing</w:t>
            </w:r>
            <w:r w:rsidRPr="006C7A5E">
              <w:rPr>
                <w:b w:val="0"/>
              </w:rPr>
              <w:t xml:space="preserve"> income and expenses, which gives an overall picture of t</w:t>
            </w:r>
            <w:r>
              <w:rPr>
                <w:b w:val="0"/>
              </w:rPr>
              <w:t xml:space="preserve">he business's financial health </w:t>
            </w:r>
            <w:proofErr w:type="gramStart"/>
            <w:r>
              <w:rPr>
                <w:b w:val="0"/>
              </w:rPr>
              <w:t>and also</w:t>
            </w:r>
            <w:proofErr w:type="gramEnd"/>
            <w:r>
              <w:rPr>
                <w:b w:val="0"/>
              </w:rPr>
              <w:t xml:space="preserve"> what</w:t>
            </w:r>
            <w:r w:rsidRPr="006C7A5E">
              <w:rPr>
                <w:b w:val="0"/>
              </w:rPr>
              <w:t xml:space="preserve"> bookkeeping</w:t>
            </w:r>
            <w:r>
              <w:rPr>
                <w:b w:val="0"/>
              </w:rPr>
              <w:t xml:space="preserve"> is</w:t>
            </w:r>
            <w:r w:rsidRPr="006C7A5E">
              <w:rPr>
                <w:b w:val="0"/>
              </w:rPr>
              <w:t>, which is more focused on recording business activity and producing documentation of transactions.</w:t>
            </w:r>
          </w:p>
          <w:p w:rsidR="006C7A5E" w:rsidRDefault="006C7A5E">
            <w:pPr>
              <w:rPr>
                <w:b w:val="0"/>
                <w:vertAlign w:val="superscript"/>
              </w:rPr>
            </w:pPr>
          </w:p>
          <w:p w:rsidR="006C7A5E" w:rsidRDefault="006C7A5E">
            <w:pPr>
              <w:rPr>
                <w:b w:val="0"/>
              </w:rPr>
            </w:pPr>
            <w:r>
              <w:rPr>
                <w:b w:val="0"/>
              </w:rPr>
              <w:t>Students will also learn that b</w:t>
            </w:r>
            <w:r w:rsidRPr="006C7A5E">
              <w:rPr>
                <w:b w:val="0"/>
              </w:rPr>
              <w:t>usiness accountants manage and produce financial statements, pay taxes for the company, and oversee all necessary financ</w:t>
            </w:r>
            <w:r>
              <w:rPr>
                <w:b w:val="0"/>
              </w:rPr>
              <w:t>ial reporting via internal or outsource to accounting firms</w:t>
            </w:r>
            <w:r w:rsidRPr="006C7A5E">
              <w:rPr>
                <w:b w:val="0"/>
              </w:rPr>
              <w:t xml:space="preserve">. </w:t>
            </w:r>
          </w:p>
          <w:p w:rsidR="006C7A5E" w:rsidRDefault="006C7A5E">
            <w:pPr>
              <w:rPr>
                <w:b w:val="0"/>
              </w:rPr>
            </w:pPr>
          </w:p>
          <w:p w:rsidR="00BD108C" w:rsidRDefault="006C7A5E">
            <w:pPr>
              <w:rPr>
                <w:b w:val="0"/>
              </w:rPr>
            </w:pPr>
            <w:r>
              <w:rPr>
                <w:b w:val="0"/>
              </w:rPr>
              <w:t>Students will also learn that i</w:t>
            </w:r>
            <w:r w:rsidRPr="006C7A5E">
              <w:rPr>
                <w:b w:val="0"/>
              </w:rPr>
              <w:t>t can be a challenging and rewarding field for anyone interested in finance. Learn business accounting by training on the job, or taking courses and classes to learn about the responsibilities and requirements of the job.</w:t>
            </w:r>
          </w:p>
          <w:p w:rsidR="006C7A5E" w:rsidRDefault="006C7A5E"/>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6C7A5E" w:rsidRPr="006C7A5E" w:rsidRDefault="006C7A5E" w:rsidP="006C7A5E">
            <w:pPr>
              <w:rPr>
                <w:b w:val="0"/>
              </w:rPr>
            </w:pPr>
            <w:r w:rsidRPr="006C7A5E">
              <w:rPr>
                <w:b w:val="0"/>
              </w:rPr>
              <w:t>Understand Accounting</w:t>
            </w:r>
            <w:r>
              <w:rPr>
                <w:b w:val="0"/>
              </w:rPr>
              <w:t xml:space="preserve"> Equation and The Balance Sheet</w:t>
            </w:r>
          </w:p>
          <w:p w:rsidR="006C7A5E" w:rsidRPr="006C7A5E" w:rsidRDefault="00571C75" w:rsidP="006C7A5E">
            <w:pPr>
              <w:rPr>
                <w:b w:val="0"/>
              </w:rPr>
            </w:pPr>
            <w:r w:rsidRPr="00571C75">
              <w:rPr>
                <w:b w:val="0"/>
              </w:rPr>
              <w:t>Understand</w:t>
            </w:r>
            <w:r>
              <w:rPr>
                <w:b w:val="0"/>
              </w:rPr>
              <w:t xml:space="preserve"> </w:t>
            </w:r>
            <w:r w:rsidR="006C7A5E" w:rsidRPr="006C7A5E">
              <w:rPr>
                <w:b w:val="0"/>
              </w:rPr>
              <w:t xml:space="preserve">The double entry </w:t>
            </w:r>
            <w:r w:rsidRPr="006C7A5E">
              <w:rPr>
                <w:b w:val="0"/>
              </w:rPr>
              <w:t>system</w:t>
            </w:r>
            <w:r w:rsidR="006C7A5E" w:rsidRPr="006C7A5E">
              <w:rPr>
                <w:b w:val="0"/>
              </w:rPr>
              <w:t xml:space="preserve"> for </w:t>
            </w:r>
            <w:r w:rsidRPr="006C7A5E">
              <w:rPr>
                <w:b w:val="0"/>
              </w:rPr>
              <w:t>assets</w:t>
            </w:r>
            <w:r>
              <w:rPr>
                <w:b w:val="0"/>
              </w:rPr>
              <w:t>, liabilities and capital</w:t>
            </w:r>
          </w:p>
          <w:p w:rsidR="006C7A5E" w:rsidRPr="006C7A5E" w:rsidRDefault="00571C75" w:rsidP="006C7A5E">
            <w:pPr>
              <w:rPr>
                <w:b w:val="0"/>
              </w:rPr>
            </w:pPr>
            <w:r w:rsidRPr="00571C75">
              <w:rPr>
                <w:b w:val="0"/>
              </w:rPr>
              <w:t>Understand</w:t>
            </w:r>
            <w:r>
              <w:rPr>
                <w:b w:val="0"/>
              </w:rPr>
              <w:t xml:space="preserve"> </w:t>
            </w:r>
            <w:r w:rsidR="006C7A5E" w:rsidRPr="006C7A5E">
              <w:rPr>
                <w:b w:val="0"/>
              </w:rPr>
              <w:t>Trading</w:t>
            </w:r>
            <w:r>
              <w:rPr>
                <w:b w:val="0"/>
              </w:rPr>
              <w:t xml:space="preserve"> and Profit and Loss accounts ( Introduction )</w:t>
            </w:r>
          </w:p>
          <w:p w:rsidR="006C7A5E" w:rsidRPr="006C7A5E" w:rsidRDefault="00571C75" w:rsidP="006C7A5E">
            <w:pPr>
              <w:rPr>
                <w:b w:val="0"/>
              </w:rPr>
            </w:pPr>
            <w:r w:rsidRPr="00571C75">
              <w:rPr>
                <w:b w:val="0"/>
              </w:rPr>
              <w:t>Understand</w:t>
            </w:r>
            <w:r>
              <w:rPr>
                <w:b w:val="0"/>
              </w:rPr>
              <w:t xml:space="preserve"> </w:t>
            </w:r>
            <w:r w:rsidR="006C7A5E">
              <w:rPr>
                <w:b w:val="0"/>
              </w:rPr>
              <w:t>Balance Sheets</w:t>
            </w:r>
          </w:p>
          <w:p w:rsidR="006C7A5E" w:rsidRPr="006C7A5E" w:rsidRDefault="00571C75" w:rsidP="006C7A5E">
            <w:pPr>
              <w:rPr>
                <w:b w:val="0"/>
              </w:rPr>
            </w:pPr>
            <w:r w:rsidRPr="00571C75">
              <w:rPr>
                <w:b w:val="0"/>
              </w:rPr>
              <w:t>Understand</w:t>
            </w:r>
            <w:r>
              <w:rPr>
                <w:b w:val="0"/>
              </w:rPr>
              <w:t xml:space="preserve"> Accounting Concepts</w:t>
            </w:r>
          </w:p>
          <w:p w:rsidR="006C7A5E" w:rsidRPr="006C7A5E" w:rsidRDefault="00571C75" w:rsidP="006C7A5E">
            <w:pPr>
              <w:rPr>
                <w:b w:val="0"/>
              </w:rPr>
            </w:pPr>
            <w:r w:rsidRPr="00571C75">
              <w:rPr>
                <w:b w:val="0"/>
              </w:rPr>
              <w:t>Understand</w:t>
            </w:r>
            <w:r>
              <w:rPr>
                <w:b w:val="0"/>
              </w:rPr>
              <w:t xml:space="preserve"> Computers and Accounting</w:t>
            </w:r>
          </w:p>
          <w:p w:rsidR="006C7A5E" w:rsidRDefault="00571C75" w:rsidP="006C7A5E">
            <w:pPr>
              <w:rPr>
                <w:b w:val="0"/>
              </w:rPr>
            </w:pPr>
            <w:r w:rsidRPr="00571C75">
              <w:rPr>
                <w:b w:val="0"/>
              </w:rPr>
              <w:t>Understand</w:t>
            </w:r>
            <w:r>
              <w:rPr>
                <w:b w:val="0"/>
              </w:rPr>
              <w:t xml:space="preserve"> </w:t>
            </w:r>
            <w:r w:rsidR="006C7A5E" w:rsidRPr="006C7A5E">
              <w:rPr>
                <w:b w:val="0"/>
              </w:rPr>
              <w:t>Computerized Accounting Systems</w:t>
            </w:r>
          </w:p>
          <w:p w:rsidR="00571C75" w:rsidRPr="006C7A5E" w:rsidRDefault="00571C75" w:rsidP="006C7A5E">
            <w:pPr>
              <w:rPr>
                <w:b w:val="0"/>
              </w:rPr>
            </w:pPr>
          </w:p>
          <w:p w:rsidR="00BD108C" w:rsidRDefault="00BD108C" w:rsidP="006C7A5E"/>
        </w:tc>
      </w:tr>
      <w:tr w:rsidR="00BD108C">
        <w:tc>
          <w:tcPr>
            <w:cnfStyle w:val="001000000000"/>
            <w:tcW w:w="10790" w:type="dxa"/>
          </w:tcPr>
          <w:p w:rsidR="00BD108C" w:rsidRDefault="00105A4A">
            <w:pPr>
              <w:numPr>
                <w:ilvl w:val="0"/>
                <w:numId w:val="2"/>
              </w:numPr>
              <w:spacing w:after="160" w:line="259" w:lineRule="auto"/>
              <w:ind w:hanging="360"/>
            </w:pPr>
            <w:r>
              <w:rPr>
                <w:b w:val="0"/>
              </w:rPr>
              <w:t>Assessment Components:</w:t>
            </w:r>
          </w:p>
          <w:p w:rsidR="00BD108C" w:rsidRDefault="00BD108C"/>
          <w:p w:rsidR="00BD108C" w:rsidRDefault="00105A4A">
            <w:r>
              <w:rPr>
                <w:b w:val="0"/>
              </w:rPr>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proofErr w:type="spellStart"/>
                  <w:r>
                    <w:t>Weightage</w:t>
                  </w:r>
                  <w:proofErr w:type="spellEnd"/>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lastRenderedPageBreak/>
              <w:t>Teaching and learning strategies</w:t>
            </w:r>
          </w:p>
          <w:p w:rsidR="00BD108C" w:rsidRDefault="00BD108C"/>
          <w:p w:rsidR="00BD108C" w:rsidRDefault="00105A4A">
            <w:r>
              <w:t xml:space="preserve">Study of this module is by classroom tuition, </w:t>
            </w:r>
            <w:proofErr w:type="gramStart"/>
            <w:r>
              <w:t>case-study</w:t>
            </w:r>
            <w:proofErr w:type="gramEnd"/>
            <w:r>
              <w:t xml:space="preserve">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05A4A">
            <w:r>
              <w:t>Learning Objectives:</w:t>
            </w:r>
          </w:p>
        </w:tc>
      </w:tr>
      <w:tr w:rsidR="00BD108C">
        <w:trPr>
          <w:cnfStyle w:val="000000100000"/>
        </w:trPr>
        <w:tc>
          <w:tcPr>
            <w:cnfStyle w:val="001000000000"/>
            <w:tcW w:w="10790" w:type="dxa"/>
          </w:tcPr>
          <w:p w:rsidR="00BD108C" w:rsidRDefault="00105A4A" w:rsidP="00A101A7">
            <w:r>
              <w:t xml:space="preserve">1. </w:t>
            </w:r>
            <w:r w:rsidR="00A101A7" w:rsidRPr="00A101A7">
              <w:t>What is accounting</w:t>
            </w:r>
          </w:p>
        </w:tc>
      </w:tr>
      <w:tr w:rsidR="00BD108C">
        <w:tc>
          <w:tcPr>
            <w:cnfStyle w:val="001000000000"/>
            <w:tcW w:w="10790" w:type="dxa"/>
          </w:tcPr>
          <w:p w:rsidR="00105A4A" w:rsidRDefault="00105A4A" w:rsidP="00105A4A">
            <w:pPr>
              <w:rPr>
                <w:b w:val="0"/>
              </w:rPr>
            </w:pPr>
          </w:p>
          <w:p w:rsidR="008C4316" w:rsidRPr="001B2A1C" w:rsidRDefault="008C4316" w:rsidP="008C4316">
            <w:r w:rsidRPr="001B2A1C">
              <w:t>3</w:t>
            </w:r>
            <w:r w:rsidRPr="001B2A1C">
              <w:rPr>
                <w:rFonts w:hint="eastAsia"/>
              </w:rPr>
              <w:t xml:space="preserve">.1 What is accounting </w:t>
            </w:r>
          </w:p>
          <w:p w:rsidR="008C4316" w:rsidRPr="001B2A1C" w:rsidRDefault="008C4316" w:rsidP="008C4316">
            <w:r w:rsidRPr="001B2A1C">
              <w:t>3</w:t>
            </w:r>
            <w:r w:rsidRPr="001B2A1C">
              <w:rPr>
                <w:rFonts w:hint="eastAsia"/>
              </w:rPr>
              <w:t xml:space="preserve">.2 The history of accounting </w:t>
            </w:r>
          </w:p>
          <w:p w:rsidR="008C4316" w:rsidRPr="001B2A1C" w:rsidRDefault="008C4316" w:rsidP="008C4316">
            <w:r w:rsidRPr="001B2A1C">
              <w:t>3</w:t>
            </w:r>
            <w:r w:rsidRPr="001B2A1C">
              <w:rPr>
                <w:rFonts w:hint="eastAsia"/>
              </w:rPr>
              <w:t xml:space="preserve">.3 The objective of accounting </w:t>
            </w:r>
          </w:p>
          <w:p w:rsidR="008C4316" w:rsidRPr="001B2A1C" w:rsidRDefault="008C4316" w:rsidP="008C4316">
            <w:r w:rsidRPr="001B2A1C">
              <w:t>3</w:t>
            </w:r>
            <w:r w:rsidRPr="001B2A1C">
              <w:rPr>
                <w:rFonts w:hint="eastAsia"/>
              </w:rPr>
              <w:t>.4 What is Bookkeeping?</w:t>
            </w:r>
          </w:p>
          <w:p w:rsidR="008C4316" w:rsidRPr="001B2A1C" w:rsidRDefault="008C4316" w:rsidP="008C4316">
            <w:r w:rsidRPr="001B2A1C">
              <w:t>3</w:t>
            </w:r>
            <w:r w:rsidRPr="001B2A1C">
              <w:rPr>
                <w:rFonts w:hint="eastAsia"/>
              </w:rPr>
              <w:t xml:space="preserve">.5 The accounting Equation </w:t>
            </w:r>
          </w:p>
          <w:p w:rsidR="008C4316" w:rsidRPr="001B2A1C" w:rsidRDefault="008C4316" w:rsidP="008C4316">
            <w:r w:rsidRPr="001B2A1C">
              <w:t>3</w:t>
            </w:r>
            <w:r w:rsidRPr="001B2A1C">
              <w:rPr>
                <w:rFonts w:hint="eastAsia"/>
              </w:rPr>
              <w:t xml:space="preserve">.6 What else would affect capital </w:t>
            </w:r>
          </w:p>
          <w:p w:rsidR="00105A4A" w:rsidRDefault="008C4316" w:rsidP="008C4316">
            <w:r w:rsidRPr="001B2A1C">
              <w:t>3</w:t>
            </w:r>
            <w:r w:rsidRPr="001B2A1C">
              <w:rPr>
                <w:rFonts w:hint="eastAsia"/>
              </w:rPr>
              <w:t>.7 Equality of the accounting equation</w:t>
            </w:r>
            <w:r>
              <w:t xml:space="preserve"> </w:t>
            </w:r>
          </w:p>
          <w:p w:rsidR="008C4316" w:rsidRDefault="008C4316" w:rsidP="008C4316"/>
        </w:tc>
      </w:tr>
      <w:tr w:rsidR="00BD108C">
        <w:trPr>
          <w:cnfStyle w:val="000000100000"/>
        </w:trPr>
        <w:tc>
          <w:tcPr>
            <w:cnfStyle w:val="001000000000"/>
            <w:tcW w:w="10790" w:type="dxa"/>
          </w:tcPr>
          <w:p w:rsidR="00BD108C" w:rsidRDefault="00105A4A" w:rsidP="00A101A7">
            <w:r>
              <w:t xml:space="preserve">2. </w:t>
            </w:r>
            <w:r w:rsidR="00A101A7" w:rsidRPr="00A101A7">
              <w:t>The Double entry</w:t>
            </w:r>
          </w:p>
        </w:tc>
      </w:tr>
      <w:tr w:rsidR="00BD108C">
        <w:tc>
          <w:tcPr>
            <w:cnfStyle w:val="001000000000"/>
            <w:tcW w:w="10790" w:type="dxa"/>
          </w:tcPr>
          <w:p w:rsidR="00105A4A" w:rsidRDefault="00105A4A" w:rsidP="00105A4A">
            <w:pPr>
              <w:rPr>
                <w:b w:val="0"/>
              </w:rPr>
            </w:pPr>
            <w:bookmarkStart w:id="0" w:name="_gjdgxs" w:colFirst="0" w:colLast="0"/>
            <w:bookmarkEnd w:id="0"/>
          </w:p>
          <w:p w:rsidR="008C4316" w:rsidRPr="001B2A1C" w:rsidRDefault="008C4316" w:rsidP="008C4316">
            <w:r w:rsidRPr="001B2A1C">
              <w:t>3</w:t>
            </w:r>
            <w:r w:rsidRPr="001B2A1C">
              <w:rPr>
                <w:rFonts w:hint="eastAsia"/>
              </w:rPr>
              <w:t>.</w:t>
            </w:r>
            <w:r w:rsidRPr="001B2A1C">
              <w:t>8</w:t>
            </w:r>
            <w:r w:rsidRPr="001B2A1C">
              <w:rPr>
                <w:rFonts w:hint="eastAsia"/>
              </w:rPr>
              <w:t xml:space="preserve"> The Double entry </w:t>
            </w:r>
          </w:p>
          <w:p w:rsidR="008C4316" w:rsidRPr="001B2A1C" w:rsidRDefault="008C4316" w:rsidP="008C4316">
            <w:r w:rsidRPr="001B2A1C">
              <w:t>3</w:t>
            </w:r>
            <w:r w:rsidRPr="001B2A1C">
              <w:rPr>
                <w:rFonts w:hint="eastAsia"/>
              </w:rPr>
              <w:t>.</w:t>
            </w:r>
            <w:r w:rsidRPr="001B2A1C">
              <w:t>9</w:t>
            </w:r>
            <w:r w:rsidRPr="001B2A1C">
              <w:rPr>
                <w:rFonts w:hint="eastAsia"/>
              </w:rPr>
              <w:t xml:space="preserve"> The accounts for double entry </w:t>
            </w:r>
          </w:p>
          <w:p w:rsidR="008C4316" w:rsidRDefault="008C4316" w:rsidP="008C4316">
            <w:r>
              <w:t>3</w:t>
            </w:r>
            <w:r>
              <w:rPr>
                <w:rFonts w:hint="eastAsia"/>
              </w:rPr>
              <w:t>.</w:t>
            </w:r>
            <w:r>
              <w:t>10</w:t>
            </w:r>
            <w:r>
              <w:rPr>
                <w:rFonts w:hint="eastAsia"/>
              </w:rPr>
              <w:t xml:space="preserve"> Worked Examples</w:t>
            </w:r>
          </w:p>
          <w:p w:rsidR="00105A4A" w:rsidRDefault="00105A4A" w:rsidP="00A101A7"/>
        </w:tc>
      </w:tr>
      <w:tr w:rsidR="00BD108C">
        <w:trPr>
          <w:cnfStyle w:val="000000100000"/>
        </w:trPr>
        <w:tc>
          <w:tcPr>
            <w:cnfStyle w:val="001000000000"/>
            <w:tcW w:w="10790" w:type="dxa"/>
          </w:tcPr>
          <w:p w:rsidR="00BD108C" w:rsidRDefault="00105A4A" w:rsidP="00A101A7">
            <w:r>
              <w:t xml:space="preserve">3. </w:t>
            </w:r>
            <w:r w:rsidR="00A101A7" w:rsidRPr="00A101A7">
              <w:t>Trading Profit and Loss Account</w:t>
            </w:r>
          </w:p>
        </w:tc>
      </w:tr>
      <w:tr w:rsidR="00BD108C">
        <w:tc>
          <w:tcPr>
            <w:cnfStyle w:val="001000000000"/>
            <w:tcW w:w="10790" w:type="dxa"/>
          </w:tcPr>
          <w:p w:rsidR="00105A4A" w:rsidRDefault="00105A4A" w:rsidP="00105A4A">
            <w:pPr>
              <w:rPr>
                <w:b w:val="0"/>
              </w:rPr>
            </w:pPr>
          </w:p>
          <w:p w:rsidR="008C4316" w:rsidRPr="001B2A1C" w:rsidRDefault="008C4316" w:rsidP="008C4316">
            <w:r w:rsidRPr="001B2A1C">
              <w:rPr>
                <w:rFonts w:hint="eastAsia"/>
              </w:rPr>
              <w:t>3.1</w:t>
            </w:r>
            <w:r w:rsidRPr="001B2A1C">
              <w:t>1</w:t>
            </w:r>
            <w:r w:rsidRPr="001B2A1C">
              <w:rPr>
                <w:rFonts w:hint="eastAsia"/>
              </w:rPr>
              <w:t xml:space="preserve"> Trading Profit and Loss Account </w:t>
            </w:r>
          </w:p>
          <w:p w:rsidR="008C4316" w:rsidRPr="001B2A1C" w:rsidRDefault="008C4316" w:rsidP="008C4316">
            <w:r>
              <w:t xml:space="preserve">    </w:t>
            </w:r>
            <w:r w:rsidRPr="001B2A1C">
              <w:rPr>
                <w:rFonts w:hint="eastAsia"/>
              </w:rPr>
              <w:t>3.1</w:t>
            </w:r>
            <w:r w:rsidRPr="001B2A1C">
              <w:t>1</w:t>
            </w:r>
            <w:r w:rsidRPr="001B2A1C">
              <w:rPr>
                <w:rFonts w:hint="eastAsia"/>
              </w:rPr>
              <w:t>.1</w:t>
            </w:r>
            <w:r w:rsidRPr="001B2A1C">
              <w:t xml:space="preserve"> </w:t>
            </w:r>
            <w:r w:rsidRPr="001B2A1C">
              <w:rPr>
                <w:rFonts w:hint="eastAsia"/>
              </w:rPr>
              <w:t>Trading Account &amp; Trading Account</w:t>
            </w:r>
          </w:p>
          <w:p w:rsidR="008C4316" w:rsidRPr="001B2A1C" w:rsidRDefault="008C4316" w:rsidP="008C4316">
            <w:r w:rsidRPr="001B2A1C">
              <w:rPr>
                <w:rFonts w:hint="eastAsia"/>
              </w:rPr>
              <w:t>3.</w:t>
            </w:r>
            <w:r w:rsidRPr="001B2A1C">
              <w:t>1</w:t>
            </w:r>
            <w:r w:rsidRPr="001B2A1C">
              <w:rPr>
                <w:rFonts w:hint="eastAsia"/>
              </w:rPr>
              <w:t xml:space="preserve">2  Profit and Loss Account </w:t>
            </w:r>
          </w:p>
          <w:p w:rsidR="008C4316" w:rsidRPr="001B2A1C" w:rsidRDefault="008C4316" w:rsidP="008C4316">
            <w:r>
              <w:t xml:space="preserve">    </w:t>
            </w:r>
            <w:r w:rsidRPr="001B2A1C">
              <w:rPr>
                <w:rFonts w:hint="eastAsia"/>
              </w:rPr>
              <w:t>3.</w:t>
            </w:r>
            <w:r w:rsidRPr="001B2A1C">
              <w:t>1</w:t>
            </w:r>
            <w:r w:rsidRPr="001B2A1C">
              <w:rPr>
                <w:rFonts w:hint="eastAsia"/>
              </w:rPr>
              <w:t xml:space="preserve">2.1 Other items in the Trading, Profit and Loss accounts. </w:t>
            </w:r>
          </w:p>
          <w:p w:rsidR="008C4316" w:rsidRPr="001B2A1C" w:rsidRDefault="008C4316" w:rsidP="008C4316">
            <w:r w:rsidRPr="001B2A1C">
              <w:rPr>
                <w:rFonts w:hint="eastAsia"/>
              </w:rPr>
              <w:t>3.</w:t>
            </w:r>
            <w:r w:rsidRPr="001B2A1C">
              <w:t>1</w:t>
            </w:r>
            <w:r w:rsidRPr="001B2A1C">
              <w:rPr>
                <w:rFonts w:hint="eastAsia"/>
              </w:rPr>
              <w:t xml:space="preserve">3 Other items in the Balance Sheet  </w:t>
            </w:r>
          </w:p>
          <w:p w:rsidR="00105A4A" w:rsidRPr="00A101A7" w:rsidRDefault="008C4316" w:rsidP="008C4316">
            <w:r>
              <w:rPr>
                <w:rFonts w:hint="eastAsia"/>
              </w:rPr>
              <w:t>3.</w:t>
            </w:r>
            <w:r>
              <w:t xml:space="preserve">14 </w:t>
            </w:r>
            <w:r>
              <w:rPr>
                <w:rFonts w:hint="eastAsia"/>
              </w:rPr>
              <w:t xml:space="preserve">Account Key Terms </w:t>
            </w:r>
          </w:p>
        </w:tc>
      </w:tr>
      <w:tr w:rsidR="00BD108C">
        <w:trPr>
          <w:cnfStyle w:val="000000100000"/>
        </w:trPr>
        <w:tc>
          <w:tcPr>
            <w:cnfStyle w:val="001000000000"/>
            <w:tcW w:w="10790" w:type="dxa"/>
          </w:tcPr>
          <w:p w:rsidR="00BD108C" w:rsidRDefault="00105A4A" w:rsidP="00A101A7">
            <w:r>
              <w:t xml:space="preserve">4. </w:t>
            </w:r>
            <w:r w:rsidR="004A15FC" w:rsidRPr="004A15FC">
              <w:t>Balance sheet Drawing</w:t>
            </w:r>
          </w:p>
        </w:tc>
      </w:tr>
      <w:tr w:rsidR="00BD108C">
        <w:tc>
          <w:tcPr>
            <w:cnfStyle w:val="001000000000"/>
            <w:tcW w:w="10790" w:type="dxa"/>
          </w:tcPr>
          <w:p w:rsidR="00BD108C" w:rsidRDefault="00BD108C" w:rsidP="00571C75"/>
          <w:p w:rsidR="008C4316" w:rsidRPr="001B2A1C" w:rsidRDefault="008C4316" w:rsidP="008C4316">
            <w:r w:rsidRPr="001B2A1C">
              <w:t>3</w:t>
            </w:r>
            <w:r w:rsidRPr="001B2A1C">
              <w:rPr>
                <w:rFonts w:hint="eastAsia"/>
              </w:rPr>
              <w:t>.1</w:t>
            </w:r>
            <w:r w:rsidRPr="001B2A1C">
              <w:t>5</w:t>
            </w:r>
            <w:r w:rsidRPr="001B2A1C">
              <w:rPr>
                <w:rFonts w:hint="eastAsia"/>
              </w:rPr>
              <w:t xml:space="preserve">. Balance sheet Drawing </w:t>
            </w:r>
          </w:p>
          <w:p w:rsidR="008C4316" w:rsidRPr="001B2A1C" w:rsidRDefault="008C4316" w:rsidP="008C4316">
            <w:r w:rsidRPr="001B2A1C">
              <w:rPr>
                <w:rFonts w:hint="eastAsia"/>
              </w:rPr>
              <w:t xml:space="preserve"> </w:t>
            </w:r>
            <w:r>
              <w:t xml:space="preserve">   </w:t>
            </w:r>
            <w:r w:rsidRPr="001B2A1C">
              <w:t>3</w:t>
            </w:r>
            <w:r w:rsidRPr="001B2A1C">
              <w:rPr>
                <w:rFonts w:hint="eastAsia"/>
              </w:rPr>
              <w:t>.1</w:t>
            </w:r>
            <w:r w:rsidRPr="001B2A1C">
              <w:t>5</w:t>
            </w:r>
            <w:r w:rsidRPr="001B2A1C">
              <w:rPr>
                <w:rFonts w:hint="eastAsia"/>
              </w:rPr>
              <w:t>.1 No double entry in balance sheets</w:t>
            </w:r>
          </w:p>
          <w:p w:rsidR="008C4316" w:rsidRPr="001B2A1C" w:rsidRDefault="008C4316" w:rsidP="008C4316">
            <w:r w:rsidRPr="001B2A1C">
              <w:t>3</w:t>
            </w:r>
            <w:r w:rsidRPr="001B2A1C">
              <w:rPr>
                <w:rFonts w:hint="eastAsia"/>
              </w:rPr>
              <w:t>.</w:t>
            </w:r>
            <w:r w:rsidRPr="001B2A1C">
              <w:t>16</w:t>
            </w:r>
            <w:r w:rsidRPr="001B2A1C">
              <w:rPr>
                <w:rFonts w:hint="eastAsia"/>
              </w:rPr>
              <w:t xml:space="preserve"> </w:t>
            </w:r>
            <w:r w:rsidRPr="001B2A1C">
              <w:t>Assets</w:t>
            </w:r>
            <w:r w:rsidRPr="001B2A1C">
              <w:rPr>
                <w:rFonts w:hint="eastAsia"/>
              </w:rPr>
              <w:t xml:space="preserve"> </w:t>
            </w:r>
          </w:p>
          <w:p w:rsidR="008C4316" w:rsidRPr="001B2A1C" w:rsidRDefault="008C4316" w:rsidP="008C4316">
            <w:r>
              <w:t xml:space="preserve">    </w:t>
            </w:r>
            <w:r w:rsidRPr="001B2A1C">
              <w:t>3</w:t>
            </w:r>
            <w:r w:rsidRPr="001B2A1C">
              <w:rPr>
                <w:rFonts w:hint="eastAsia"/>
              </w:rPr>
              <w:t>.</w:t>
            </w:r>
            <w:r w:rsidRPr="001B2A1C">
              <w:t>16</w:t>
            </w:r>
            <w:r w:rsidRPr="001B2A1C">
              <w:rPr>
                <w:rFonts w:hint="eastAsia"/>
              </w:rPr>
              <w:t>.1 Current assets</w:t>
            </w:r>
          </w:p>
          <w:p w:rsidR="008C4316" w:rsidRPr="001B2A1C" w:rsidRDefault="008C4316" w:rsidP="008C4316">
            <w:r>
              <w:t xml:space="preserve">    </w:t>
            </w:r>
            <w:r w:rsidRPr="001B2A1C">
              <w:t>3</w:t>
            </w:r>
            <w:r w:rsidRPr="001B2A1C">
              <w:rPr>
                <w:rFonts w:hint="eastAsia"/>
              </w:rPr>
              <w:t>.</w:t>
            </w:r>
            <w:r w:rsidRPr="001B2A1C">
              <w:t>16.2</w:t>
            </w:r>
            <w:r w:rsidRPr="001B2A1C">
              <w:rPr>
                <w:rFonts w:hint="eastAsia"/>
              </w:rPr>
              <w:t xml:space="preserve"> Example of drawn balance sheet </w:t>
            </w:r>
          </w:p>
          <w:p w:rsidR="008C4316" w:rsidRDefault="008C4316" w:rsidP="008C4316">
            <w:r>
              <w:t xml:space="preserve">3.17 </w:t>
            </w:r>
            <w:r>
              <w:rPr>
                <w:rFonts w:hint="eastAsia"/>
              </w:rPr>
              <w:t xml:space="preserve">Accounting Concepts </w:t>
            </w:r>
          </w:p>
          <w:p w:rsidR="00105A4A" w:rsidRDefault="008C4316" w:rsidP="008C4316">
            <w:pPr>
              <w:pStyle w:val="a9"/>
              <w:numPr>
                <w:ilvl w:val="1"/>
                <w:numId w:val="7"/>
              </w:numPr>
              <w:spacing w:after="200" w:line="276" w:lineRule="auto"/>
            </w:pPr>
            <w:r>
              <w:rPr>
                <w:rFonts w:hint="eastAsia"/>
              </w:rPr>
              <w:t>Computers and Accounting</w:t>
            </w:r>
          </w:p>
          <w:p w:rsidR="004A15FC" w:rsidRPr="004245A9" w:rsidRDefault="004A15FC" w:rsidP="004245A9">
            <w:pPr>
              <w:rPr>
                <w:b w:val="0"/>
              </w:rPr>
            </w:pPr>
            <w:bookmarkStart w:id="1" w:name="_GoBack"/>
            <w:bookmarkEnd w:id="1"/>
          </w:p>
        </w:tc>
      </w:tr>
    </w:tbl>
    <w:p w:rsidR="00BD108C" w:rsidRDefault="00BD108C"/>
    <w:sectPr w:rsidR="00BD108C" w:rsidSect="00246FE5">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878A6"/>
    <w:multiLevelType w:val="hybridMultilevel"/>
    <w:tmpl w:val="83E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B4B75"/>
    <w:multiLevelType w:val="hybridMultilevel"/>
    <w:tmpl w:val="5EDE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971ADA"/>
    <w:multiLevelType w:val="multilevel"/>
    <w:tmpl w:val="C95ED498"/>
    <w:lvl w:ilvl="0">
      <w:start w:val="3"/>
      <w:numFmt w:val="decimal"/>
      <w:lvlText w:val="%1."/>
      <w:lvlJc w:val="left"/>
      <w:pPr>
        <w:ind w:left="450" w:hanging="450"/>
      </w:pPr>
      <w:rPr>
        <w:rFonts w:hint="default"/>
      </w:rPr>
    </w:lvl>
    <w:lvl w:ilvl="1">
      <w:start w:val="18"/>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105A4A"/>
    <w:rsid w:val="001F446C"/>
    <w:rsid w:val="00246FE5"/>
    <w:rsid w:val="00255E36"/>
    <w:rsid w:val="003D29CB"/>
    <w:rsid w:val="004245A9"/>
    <w:rsid w:val="004A15FC"/>
    <w:rsid w:val="00571C75"/>
    <w:rsid w:val="005E24CA"/>
    <w:rsid w:val="006C7A5E"/>
    <w:rsid w:val="008C4316"/>
    <w:rsid w:val="00901EDF"/>
    <w:rsid w:val="00A101A7"/>
    <w:rsid w:val="00BD108C"/>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46FE5"/>
  </w:style>
  <w:style w:type="paragraph" w:styleId="1">
    <w:name w:val="heading 1"/>
    <w:basedOn w:val="a"/>
    <w:next w:val="a"/>
    <w:rsid w:val="00246FE5"/>
    <w:pPr>
      <w:keepNext/>
      <w:keepLines/>
      <w:spacing w:before="480" w:after="120"/>
      <w:contextualSpacing/>
      <w:outlineLvl w:val="0"/>
    </w:pPr>
    <w:rPr>
      <w:b/>
      <w:sz w:val="48"/>
      <w:szCs w:val="48"/>
    </w:rPr>
  </w:style>
  <w:style w:type="paragraph" w:styleId="2">
    <w:name w:val="heading 2"/>
    <w:basedOn w:val="a"/>
    <w:next w:val="a"/>
    <w:rsid w:val="00246FE5"/>
    <w:pPr>
      <w:keepNext/>
      <w:keepLines/>
      <w:spacing w:before="40" w:after="0"/>
      <w:outlineLvl w:val="1"/>
    </w:pPr>
    <w:rPr>
      <w:color w:val="2E75B5"/>
      <w:sz w:val="26"/>
      <w:szCs w:val="26"/>
    </w:rPr>
  </w:style>
  <w:style w:type="paragraph" w:styleId="3">
    <w:name w:val="heading 3"/>
    <w:basedOn w:val="a"/>
    <w:next w:val="a"/>
    <w:rsid w:val="00246FE5"/>
    <w:pPr>
      <w:keepNext/>
      <w:keepLines/>
      <w:spacing w:before="280" w:after="80"/>
      <w:contextualSpacing/>
      <w:outlineLvl w:val="2"/>
    </w:pPr>
    <w:rPr>
      <w:b/>
      <w:sz w:val="28"/>
      <w:szCs w:val="28"/>
    </w:rPr>
  </w:style>
  <w:style w:type="paragraph" w:styleId="4">
    <w:name w:val="heading 4"/>
    <w:basedOn w:val="a"/>
    <w:next w:val="a"/>
    <w:rsid w:val="00246FE5"/>
    <w:pPr>
      <w:keepNext/>
      <w:keepLines/>
      <w:spacing w:before="240" w:after="40"/>
      <w:contextualSpacing/>
      <w:outlineLvl w:val="3"/>
    </w:pPr>
    <w:rPr>
      <w:b/>
      <w:sz w:val="24"/>
      <w:szCs w:val="24"/>
    </w:rPr>
  </w:style>
  <w:style w:type="paragraph" w:styleId="5">
    <w:name w:val="heading 5"/>
    <w:basedOn w:val="a"/>
    <w:next w:val="a"/>
    <w:rsid w:val="00246FE5"/>
    <w:pPr>
      <w:keepNext/>
      <w:keepLines/>
      <w:spacing w:before="220" w:after="40"/>
      <w:contextualSpacing/>
      <w:outlineLvl w:val="4"/>
    </w:pPr>
    <w:rPr>
      <w:b/>
    </w:rPr>
  </w:style>
  <w:style w:type="paragraph" w:styleId="6">
    <w:name w:val="heading 6"/>
    <w:basedOn w:val="a"/>
    <w:next w:val="a"/>
    <w:rsid w:val="00246FE5"/>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246FE5"/>
    <w:pPr>
      <w:keepNext/>
      <w:keepLines/>
      <w:spacing w:after="0" w:line="240" w:lineRule="auto"/>
    </w:pPr>
    <w:rPr>
      <w:sz w:val="56"/>
      <w:szCs w:val="56"/>
    </w:rPr>
  </w:style>
  <w:style w:type="paragraph" w:styleId="a4">
    <w:name w:val="Subtitle"/>
    <w:basedOn w:val="a"/>
    <w:next w:val="a"/>
    <w:rsid w:val="00246FE5"/>
    <w:pPr>
      <w:keepNext/>
      <w:keepLines/>
      <w:spacing w:before="360" w:after="80"/>
      <w:contextualSpacing/>
    </w:pPr>
    <w:rPr>
      <w:rFonts w:ascii="Georgia" w:eastAsia="Georgia" w:hAnsi="Georgia" w:cs="Georgia"/>
      <w:i/>
      <w:color w:val="666666"/>
      <w:sz w:val="48"/>
      <w:szCs w:val="48"/>
    </w:rPr>
  </w:style>
  <w:style w:type="table" w:customStyle="1" w:styleId="a5">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246FE5"/>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99"/>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2017-04-17T08:47:00Z</dcterms:created>
  <dcterms:modified xsi:type="dcterms:W3CDTF">2017-04-17T08:47:00Z</dcterms:modified>
</cp:coreProperties>
</file>