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69EF" w:rsidRDefault="00990566">
      <w:pPr>
        <w:pStyle w:val="2"/>
      </w:pPr>
      <w:r>
        <w:t xml:space="preserve">Diploma </w:t>
      </w:r>
    </w:p>
    <w:p w:rsidR="007C69EF" w:rsidRDefault="007C69EF"/>
    <w:tbl>
      <w:tblPr>
        <w:tblStyle w:val="Style12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7C69EF" w:rsidTr="007C69EF">
        <w:trPr>
          <w:cnfStyle w:val="100000000000"/>
        </w:trPr>
        <w:tc>
          <w:tcPr>
            <w:cnfStyle w:val="001000000000"/>
            <w:tcW w:w="10790" w:type="dxa"/>
          </w:tcPr>
          <w:p w:rsidR="007C69EF" w:rsidRDefault="00990566">
            <w:pPr>
              <w:pStyle w:val="2"/>
              <w:spacing w:line="240" w:lineRule="auto"/>
              <w:outlineLvl w:val="1"/>
              <w:rPr>
                <w:b w:val="0"/>
              </w:rPr>
            </w:pPr>
            <w:r>
              <w:t xml:space="preserve">TITLE: </w:t>
            </w:r>
            <w:r>
              <w:t>Food and Beverages</w:t>
            </w:r>
          </w:p>
        </w:tc>
      </w:tr>
      <w:tr w:rsidR="007C69EF" w:rsidTr="007C69EF">
        <w:tc>
          <w:tcPr>
            <w:cnfStyle w:val="001000000000"/>
            <w:tcW w:w="10790" w:type="dxa"/>
            <w:shd w:val="clear" w:color="auto" w:fill="F2F2F2"/>
          </w:tcPr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t xml:space="preserve">Module Code: </w:t>
            </w:r>
          </w:p>
          <w:p w:rsidR="007C69EF" w:rsidRDefault="00990566">
            <w:pPr>
              <w:spacing w:after="0" w:line="240" w:lineRule="auto"/>
              <w:rPr>
                <w:rFonts w:ascii="Arial" w:eastAsia="Arial" w:hAnsi="Arial" w:cs="Arial"/>
                <w:b w:val="0"/>
                <w:sz w:val="19"/>
                <w:szCs w:val="19"/>
              </w:rPr>
            </w:pPr>
            <w:r>
              <w:t xml:space="preserve">Module: </w:t>
            </w:r>
            <w:r>
              <w:t>Food and Beverages</w:t>
            </w:r>
          </w:p>
          <w:p w:rsidR="007C69EF" w:rsidRDefault="00990566">
            <w:pPr>
              <w:spacing w:after="0" w:line="240" w:lineRule="auto"/>
              <w:rPr>
                <w:rFonts w:ascii="Arial" w:eastAsia="Arial" w:hAnsi="Arial" w:cs="Arial"/>
                <w:b w:val="0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7C69EF" w:rsidRDefault="007C69EF">
            <w:pPr>
              <w:spacing w:after="0" w:line="240" w:lineRule="auto"/>
              <w:rPr>
                <w:rFonts w:ascii="Arial" w:eastAsia="Arial" w:hAnsi="Arial" w:cs="Arial"/>
                <w:b w:val="0"/>
                <w:sz w:val="19"/>
                <w:szCs w:val="19"/>
              </w:rPr>
            </w:pPr>
          </w:p>
        </w:tc>
      </w:tr>
      <w:tr w:rsidR="007C69EF" w:rsidTr="007C69EF">
        <w:tc>
          <w:tcPr>
            <w:cnfStyle w:val="001000000000"/>
            <w:tcW w:w="10790" w:type="dxa"/>
          </w:tcPr>
          <w:p w:rsidR="007C69EF" w:rsidRDefault="00990566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Instructional Hours: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Minimum Requirement: 12 hours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Lecture: 12 hours</w:t>
            </w:r>
          </w:p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Project: 6 hours</w:t>
            </w:r>
          </w:p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Private study: 12 hours</w:t>
            </w:r>
          </w:p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Total: 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t>Credit Value: 2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</w:tc>
      </w:tr>
      <w:tr w:rsidR="007C69EF" w:rsidTr="007C69EF">
        <w:tc>
          <w:tcPr>
            <w:cnfStyle w:val="001000000000"/>
            <w:tcW w:w="10790" w:type="dxa"/>
            <w:shd w:val="clear" w:color="auto" w:fill="F2F2F2"/>
          </w:tcPr>
          <w:p w:rsidR="007C69EF" w:rsidRDefault="00990566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Module Synopsis: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Pr="00990566" w:rsidRDefault="00990566">
            <w:pPr>
              <w:spacing w:after="0" w:line="240" w:lineRule="auto"/>
              <w:rPr>
                <w:rFonts w:asciiTheme="minorHAnsi" w:eastAsia="SimSun" w:hAnsiTheme="minorHAnsi" w:cs="Verdana"/>
                <w:szCs w:val="18"/>
              </w:rPr>
            </w:pPr>
            <w:r>
              <w:rPr>
                <w:rFonts w:asciiTheme="minorHAnsi" w:eastAsia="SimSun" w:hAnsiTheme="minorHAnsi" w:cs="Verdana"/>
                <w:b w:val="0"/>
                <w:szCs w:val="18"/>
              </w:rPr>
              <w:t>T</w:t>
            </w:r>
            <w:r w:rsidRPr="00990566">
              <w:rPr>
                <w:rFonts w:asciiTheme="minorHAnsi" w:eastAsia="SimSun" w:hAnsiTheme="minorHAnsi" w:cs="Verdana"/>
                <w:b w:val="0"/>
                <w:szCs w:val="18"/>
              </w:rPr>
              <w:t xml:space="preserve">his </w:t>
            </w:r>
            <w:r w:rsidRPr="00990566">
              <w:rPr>
                <w:rFonts w:asciiTheme="minorHAnsi" w:eastAsia="SimSun" w:hAnsiTheme="minorHAnsi" w:cs="Verdana"/>
                <w:b w:val="0"/>
                <w:szCs w:val="18"/>
              </w:rPr>
              <w:t xml:space="preserve">subject introduces students to all aspects of food and beverage management. The steps to opening and managing a restaurant </w:t>
            </w:r>
            <w:proofErr w:type="gramStart"/>
            <w:r w:rsidRPr="00990566">
              <w:rPr>
                <w:rFonts w:asciiTheme="minorHAnsi" w:eastAsia="SimSun" w:hAnsiTheme="minorHAnsi" w:cs="Verdana"/>
                <w:b w:val="0"/>
                <w:szCs w:val="18"/>
              </w:rPr>
              <w:t>will be covered</w:t>
            </w:r>
            <w:proofErr w:type="gramEnd"/>
            <w:r w:rsidRPr="00990566">
              <w:rPr>
                <w:rFonts w:asciiTheme="minorHAnsi" w:eastAsia="SimSun" w:hAnsiTheme="minorHAnsi" w:cs="Verdana"/>
                <w:b w:val="0"/>
                <w:szCs w:val="18"/>
              </w:rPr>
              <w:t>. These include location selection, interior design and menu planning, day to day operational concerns such as hygiene</w:t>
            </w:r>
            <w:r w:rsidRPr="00990566">
              <w:rPr>
                <w:rFonts w:asciiTheme="minorHAnsi" w:eastAsia="SimSun" w:hAnsiTheme="minorHAnsi" w:cs="Verdana"/>
                <w:b w:val="0"/>
                <w:szCs w:val="18"/>
              </w:rPr>
              <w:t xml:space="preserve"> and sanitation, marketing, staff scheduling, motivation and management, service styles, customer service issues and technological innovations.</w:t>
            </w:r>
          </w:p>
          <w:p w:rsidR="007C69EF" w:rsidRDefault="007C69EF">
            <w:pPr>
              <w:spacing w:after="0" w:line="240" w:lineRule="auto"/>
              <w:rPr>
                <w:rFonts w:ascii="Verdana" w:eastAsia="SimSun" w:hAnsi="Verdana" w:cs="Verdana"/>
                <w:sz w:val="18"/>
                <w:szCs w:val="18"/>
                <w:shd w:val="clear" w:color="auto" w:fill="FFFFFF"/>
              </w:rPr>
            </w:pPr>
          </w:p>
        </w:tc>
      </w:tr>
      <w:tr w:rsidR="007C69EF" w:rsidTr="007C69EF">
        <w:tc>
          <w:tcPr>
            <w:cnfStyle w:val="001000000000"/>
            <w:tcW w:w="10790" w:type="dxa"/>
          </w:tcPr>
          <w:p w:rsidR="007C69EF" w:rsidRDefault="00990566">
            <w:pPr>
              <w:numPr>
                <w:ilvl w:val="0"/>
                <w:numId w:val="1"/>
              </w:numPr>
              <w:spacing w:after="0"/>
              <w:ind w:hanging="360"/>
              <w:rPr>
                <w:b w:val="0"/>
              </w:rPr>
            </w:pPr>
            <w:r>
              <w:rPr>
                <w:b w:val="0"/>
              </w:rPr>
              <w:t>Module Objectives</w:t>
            </w:r>
          </w:p>
          <w:p w:rsidR="007C69EF" w:rsidRDefault="007C69EF">
            <w:pPr>
              <w:ind w:left="720"/>
              <w:rPr>
                <w:b w:val="0"/>
              </w:rPr>
            </w:pP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 w:rsidRPr="00990566">
              <w:rPr>
                <w:rFonts w:eastAsia="SimSun"/>
                <w:b w:val="0"/>
              </w:rPr>
              <w:t xml:space="preserve">This module focuses on the analysis of the operations and determines the best course of </w:t>
            </w:r>
            <w:r w:rsidRPr="00990566">
              <w:rPr>
                <w:rFonts w:eastAsia="SimSun"/>
                <w:b w:val="0"/>
              </w:rPr>
              <w:t>action in food &amp; beverage operations and management. It examines the ways to maximize service efficiency and productivity to satisfy demands of today's guests. Topics also include organization of food &amp; beverage operations, marketing, nutrition, menu, stan</w:t>
            </w:r>
            <w:r w:rsidRPr="00990566">
              <w:rPr>
                <w:rFonts w:eastAsia="SimSun"/>
                <w:b w:val="0"/>
              </w:rPr>
              <w:t>dard product costs &amp; pricing strategies, productions, service, cost controlling, facility design, layout and equipment.</w:t>
            </w:r>
          </w:p>
          <w:p w:rsidR="007C69EF" w:rsidRDefault="007C69EF">
            <w:pPr>
              <w:spacing w:after="0" w:line="240" w:lineRule="auto"/>
              <w:rPr>
                <w:rFonts w:eastAsia="SimSun" w:hint="eastAsia"/>
              </w:rPr>
            </w:pPr>
          </w:p>
        </w:tc>
      </w:tr>
      <w:tr w:rsidR="007C69EF" w:rsidTr="007C69EF">
        <w:tc>
          <w:tcPr>
            <w:cnfStyle w:val="001000000000"/>
            <w:tcW w:w="10790" w:type="dxa"/>
            <w:shd w:val="clear" w:color="auto" w:fill="F2F2F2"/>
          </w:tcPr>
          <w:p w:rsidR="007C69EF" w:rsidRDefault="00990566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Learning Outcomes: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>
              <w:rPr>
                <w:rFonts w:eastAsia="SimSun"/>
              </w:rPr>
              <w:t>•</w:t>
            </w:r>
            <w:r>
              <w:rPr>
                <w:rFonts w:eastAsia="SimSun"/>
              </w:rPr>
              <w:t xml:space="preserve"> </w:t>
            </w:r>
            <w:r w:rsidRPr="00990566">
              <w:rPr>
                <w:rFonts w:eastAsia="SimSun"/>
                <w:b w:val="0"/>
              </w:rPr>
              <w:t xml:space="preserve">Identify the major factors affecting the growth of the food and beverage industry. </w:t>
            </w: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 w:rsidRPr="00990566">
              <w:rPr>
                <w:rFonts w:eastAsia="SimSun"/>
                <w:b w:val="0"/>
              </w:rPr>
              <w:t xml:space="preserve">• Understand the customer. </w:t>
            </w: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 w:rsidRPr="00990566">
              <w:rPr>
                <w:rFonts w:eastAsia="SimSun"/>
                <w:b w:val="0"/>
              </w:rPr>
              <w:t xml:space="preserve">• Develop a marketing plan. </w:t>
            </w: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 w:rsidRPr="00990566">
              <w:rPr>
                <w:rFonts w:eastAsia="SimSun"/>
                <w:b w:val="0"/>
              </w:rPr>
              <w:t xml:space="preserve">• Promote the operation. </w:t>
            </w: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 w:rsidRPr="00990566">
              <w:rPr>
                <w:rFonts w:eastAsia="SimSun"/>
                <w:b w:val="0"/>
              </w:rPr>
              <w:t xml:space="preserve">• Understand the pricing and designing of the menu. </w:t>
            </w: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 w:rsidRPr="00990566">
              <w:rPr>
                <w:rFonts w:eastAsia="SimSun"/>
                <w:b w:val="0"/>
              </w:rPr>
              <w:t xml:space="preserve">• Understand the important of delivering high quality service. </w:t>
            </w: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 w:rsidRPr="00990566">
              <w:rPr>
                <w:rFonts w:eastAsia="SimSun"/>
                <w:b w:val="0"/>
              </w:rPr>
              <w:t xml:space="preserve">• Understand the important of physical facility. </w:t>
            </w: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 w:rsidRPr="00990566">
              <w:rPr>
                <w:rFonts w:eastAsia="SimSun"/>
                <w:b w:val="0"/>
              </w:rPr>
              <w:t xml:space="preserve">• Develop procedures for the effective purchasing, receiving, storing, and issuing of items used in the operation. </w:t>
            </w: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 w:rsidRPr="00990566">
              <w:rPr>
                <w:rFonts w:eastAsia="SimSun"/>
                <w:b w:val="0"/>
              </w:rPr>
              <w:t xml:space="preserve">• Understand the important of kitchen equipment selection, maintenance and energy management </w:t>
            </w: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 w:rsidRPr="00990566">
              <w:rPr>
                <w:rFonts w:eastAsia="SimSun"/>
                <w:b w:val="0"/>
              </w:rPr>
              <w:t xml:space="preserve">• Exercise effective cost controlling </w:t>
            </w:r>
          </w:p>
          <w:p w:rsidR="007C69EF" w:rsidRPr="00990566" w:rsidRDefault="00990566">
            <w:pPr>
              <w:spacing w:after="0" w:line="240" w:lineRule="auto"/>
              <w:rPr>
                <w:rFonts w:eastAsia="SimSun" w:hint="eastAsia"/>
                <w:b w:val="0"/>
              </w:rPr>
            </w:pPr>
            <w:r w:rsidRPr="00990566">
              <w:rPr>
                <w:rFonts w:eastAsia="SimSun"/>
                <w:b w:val="0"/>
              </w:rPr>
              <w:t>• Learn</w:t>
            </w:r>
            <w:r w:rsidRPr="00990566">
              <w:rPr>
                <w:rFonts w:eastAsia="SimSun"/>
                <w:b w:val="0"/>
              </w:rPr>
              <w:t xml:space="preserve"> about the concept of risk management and the safeguarding of assets.</w:t>
            </w:r>
          </w:p>
          <w:p w:rsidR="007C69EF" w:rsidRDefault="007C69EF">
            <w:pPr>
              <w:spacing w:after="0" w:line="240" w:lineRule="auto"/>
              <w:rPr>
                <w:rFonts w:eastAsia="SimSun" w:hint="eastAsia"/>
              </w:rPr>
            </w:pPr>
          </w:p>
        </w:tc>
      </w:tr>
      <w:tr w:rsidR="007C69EF" w:rsidTr="007C69EF">
        <w:tc>
          <w:tcPr>
            <w:cnfStyle w:val="001000000000"/>
            <w:tcW w:w="10790" w:type="dxa"/>
          </w:tcPr>
          <w:p w:rsidR="007C69EF" w:rsidRDefault="00990566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Assessment Components: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To successfully complete the module students must perform the following: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tbl>
            <w:tblPr>
              <w:tblStyle w:val="Style11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7C69EF" w:rsidTr="007C69EF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7C69EF" w:rsidRDefault="00990566">
                  <w:pPr>
                    <w:spacing w:after="0" w:line="240" w:lineRule="auto"/>
                    <w:rPr>
                      <w:b w:val="0"/>
                    </w:rPr>
                  </w:pPr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7C69EF" w:rsidRDefault="00990566">
                  <w:pPr>
                    <w:spacing w:after="0" w:line="240" w:lineRule="auto"/>
                    <w:cnfStyle w:val="100000000000"/>
                    <w:rPr>
                      <w:b w:val="0"/>
                    </w:rPr>
                  </w:pPr>
                  <w:proofErr w:type="spellStart"/>
                  <w:r>
                    <w:t>Weightage</w:t>
                  </w:r>
                  <w:proofErr w:type="spellEnd"/>
                </w:p>
              </w:tc>
              <w:tc>
                <w:tcPr>
                  <w:tcW w:w="3522" w:type="dxa"/>
                </w:tcPr>
                <w:p w:rsidR="007C69EF" w:rsidRDefault="00990566">
                  <w:pPr>
                    <w:spacing w:after="0" w:line="240" w:lineRule="auto"/>
                    <w:cnfStyle w:val="100000000000"/>
                    <w:rPr>
                      <w:b w:val="0"/>
                    </w:rPr>
                  </w:pPr>
                  <w:r>
                    <w:t>Due Date</w:t>
                  </w:r>
                </w:p>
              </w:tc>
            </w:tr>
            <w:tr w:rsidR="007C69EF" w:rsidTr="007C69EF">
              <w:tc>
                <w:tcPr>
                  <w:cnfStyle w:val="001000000000"/>
                  <w:tcW w:w="3521" w:type="dxa"/>
                  <w:shd w:val="clear" w:color="auto" w:fill="F2F2F2"/>
                </w:tcPr>
                <w:p w:rsidR="007C69EF" w:rsidRDefault="00990566">
                  <w:pPr>
                    <w:spacing w:after="0" w:line="240" w:lineRule="auto"/>
                    <w:rPr>
                      <w:b w:val="0"/>
                    </w:rPr>
                  </w:pPr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  <w:shd w:val="clear" w:color="auto" w:fill="F2F2F2"/>
                </w:tcPr>
                <w:p w:rsidR="007C69EF" w:rsidRDefault="00990566">
                  <w:pPr>
                    <w:spacing w:after="0" w:line="240" w:lineRule="auto"/>
                    <w:contextualSpacing/>
                    <w:cnfStyle w:val="000000000000"/>
                  </w:pPr>
                  <w:r>
                    <w:t>100%</w:t>
                  </w:r>
                </w:p>
              </w:tc>
              <w:tc>
                <w:tcPr>
                  <w:tcW w:w="3522" w:type="dxa"/>
                  <w:shd w:val="clear" w:color="auto" w:fill="F2F2F2"/>
                </w:tcPr>
                <w:p w:rsidR="007C69EF" w:rsidRDefault="00990566">
                  <w:pPr>
                    <w:spacing w:after="0" w:line="240" w:lineRule="auto"/>
                    <w:contextualSpacing/>
                    <w:cnfStyle w:val="000000000000"/>
                  </w:pPr>
                  <w:r>
                    <w:t>2 weeks after end of module</w:t>
                  </w:r>
                </w:p>
              </w:tc>
            </w:tr>
          </w:tbl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Default="00990566">
            <w:pPr>
              <w:numPr>
                <w:ilvl w:val="0"/>
                <w:numId w:val="2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rPr>
                <w:b w:val="0"/>
              </w:rPr>
              <w:t>nominal word count for this module is 1,200 words. The suggested range is in between 1000-1500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</w:tc>
      </w:tr>
      <w:tr w:rsidR="007C69EF" w:rsidTr="007C69EF">
        <w:tc>
          <w:tcPr>
            <w:cnfStyle w:val="001000000000"/>
            <w:tcW w:w="10790" w:type="dxa"/>
            <w:shd w:val="clear" w:color="auto" w:fill="F2F2F2"/>
          </w:tcPr>
          <w:p w:rsidR="007C69EF" w:rsidRDefault="00990566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lastRenderedPageBreak/>
              <w:t>Teaching and learning strategies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t xml:space="preserve">Study of this module is by classroom tuition, </w:t>
            </w:r>
            <w:proofErr w:type="gramStart"/>
            <w:r>
              <w:t>case-study</w:t>
            </w:r>
            <w:proofErr w:type="gramEnd"/>
            <w:r>
              <w:t xml:space="preserve"> and independent study.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t>Teaching media includes: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Default="00990566">
            <w:pPr>
              <w:numPr>
                <w:ilvl w:val="0"/>
                <w:numId w:val="2"/>
              </w:numPr>
              <w:spacing w:after="0"/>
              <w:ind w:hanging="360"/>
              <w:rPr>
                <w:b w:val="0"/>
              </w:rPr>
            </w:pPr>
            <w:r>
              <w:rPr>
                <w:b w:val="0"/>
              </w:rPr>
              <w:t>PowerPoint</w:t>
            </w:r>
          </w:p>
          <w:p w:rsidR="007C69EF" w:rsidRDefault="00990566">
            <w:pPr>
              <w:numPr>
                <w:ilvl w:val="0"/>
                <w:numId w:val="2"/>
              </w:numPr>
              <w:spacing w:after="0"/>
              <w:ind w:hanging="360"/>
              <w:rPr>
                <w:b w:val="0"/>
              </w:rPr>
            </w:pPr>
            <w:r>
              <w:rPr>
                <w:b w:val="0"/>
              </w:rPr>
              <w:t>Multimedia Resources</w:t>
            </w:r>
          </w:p>
          <w:p w:rsidR="007C69EF" w:rsidRDefault="00990566">
            <w:pPr>
              <w:numPr>
                <w:ilvl w:val="0"/>
                <w:numId w:val="2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Books references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</w:tc>
      </w:tr>
      <w:tr w:rsidR="007C69EF" w:rsidTr="007C69EF">
        <w:tc>
          <w:tcPr>
            <w:cnfStyle w:val="001000000000"/>
            <w:tcW w:w="10790" w:type="dxa"/>
          </w:tcPr>
          <w:p w:rsidR="007C69EF" w:rsidRDefault="00990566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Recommended Reading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</w:tc>
      </w:tr>
    </w:tbl>
    <w:p w:rsidR="007C69EF" w:rsidRDefault="007C69EF"/>
    <w:p w:rsidR="007C69EF" w:rsidRDefault="007C69EF"/>
    <w:p w:rsidR="007C69EF" w:rsidRDefault="00990566">
      <w:r>
        <w:br w:type="page"/>
      </w:r>
    </w:p>
    <w:p w:rsidR="007C69EF" w:rsidRDefault="00990566">
      <w:pPr>
        <w:pStyle w:val="2"/>
      </w:pPr>
      <w:r>
        <w:lastRenderedPageBreak/>
        <w:t>Detailed Syllabus</w:t>
      </w:r>
    </w:p>
    <w:p w:rsidR="007C69EF" w:rsidRDefault="007C69EF"/>
    <w:tbl>
      <w:tblPr>
        <w:tblStyle w:val="Style13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7C69EF" w:rsidTr="007C69EF">
        <w:trPr>
          <w:cnfStyle w:val="100000000000"/>
        </w:trPr>
        <w:tc>
          <w:tcPr>
            <w:cnfStyle w:val="001000000000"/>
            <w:tcW w:w="10790" w:type="dxa"/>
          </w:tcPr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t>Learning Objectives:</w:t>
            </w:r>
          </w:p>
        </w:tc>
      </w:tr>
      <w:tr w:rsidR="007C69EF" w:rsidTr="007C69EF">
        <w:tc>
          <w:tcPr>
            <w:cnfStyle w:val="001000000000"/>
            <w:tcW w:w="10790" w:type="dxa"/>
            <w:shd w:val="clear" w:color="auto" w:fill="F2F2F2"/>
          </w:tcPr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t xml:space="preserve">1. </w:t>
            </w:r>
            <w:r>
              <w:rPr>
                <w:rFonts w:eastAsia="SimSun"/>
              </w:rPr>
              <w:t>Food and Beverage Operations and Management</w:t>
            </w:r>
          </w:p>
        </w:tc>
      </w:tr>
      <w:tr w:rsidR="007C69EF" w:rsidTr="007C69EF">
        <w:tc>
          <w:tcPr>
            <w:cnfStyle w:val="001000000000"/>
            <w:tcW w:w="10790" w:type="dxa"/>
          </w:tcPr>
          <w:p w:rsidR="007C69EF" w:rsidRDefault="007C69EF">
            <w:pPr>
              <w:spacing w:after="0" w:line="240" w:lineRule="auto"/>
            </w:pP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6.1 Types of Catering Sectors</w:t>
            </w: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6.2 Basic </w:t>
            </w:r>
            <w:r>
              <w:rPr>
                <w:rFonts w:eastAsia="Segoe Print"/>
                <w:sz w:val="24"/>
                <w:szCs w:val="24"/>
              </w:rPr>
              <w:t>Etiquette</w:t>
            </w:r>
            <w:r>
              <w:rPr>
                <w:rFonts w:eastAsia="Segoe Print"/>
                <w:sz w:val="24"/>
                <w:szCs w:val="24"/>
              </w:rPr>
              <w:t xml:space="preserve"> of Food and Beverage Personnel </w:t>
            </w: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6.3 Attributes of Food and Beverage Personnel </w:t>
            </w:r>
          </w:p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t xml:space="preserve"> </w:t>
            </w:r>
          </w:p>
        </w:tc>
      </w:tr>
      <w:tr w:rsidR="007C69EF" w:rsidTr="007C69EF">
        <w:tc>
          <w:tcPr>
            <w:cnfStyle w:val="001000000000"/>
            <w:tcW w:w="10790" w:type="dxa"/>
            <w:shd w:val="clear" w:color="auto" w:fill="F2F2F2"/>
          </w:tcPr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t xml:space="preserve">2. </w:t>
            </w:r>
            <w:r>
              <w:rPr>
                <w:rFonts w:eastAsia="SimSun"/>
              </w:rPr>
              <w:t>Food Production</w:t>
            </w:r>
          </w:p>
        </w:tc>
      </w:tr>
      <w:tr w:rsidR="007C69EF" w:rsidTr="007C69EF">
        <w:tc>
          <w:tcPr>
            <w:cnfStyle w:val="001000000000"/>
            <w:tcW w:w="10790" w:type="dxa"/>
          </w:tcPr>
          <w:p w:rsidR="007C69EF" w:rsidRDefault="007C69EF">
            <w:pPr>
              <w:spacing w:after="0" w:line="240" w:lineRule="auto"/>
            </w:pP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6.4 Types of Service</w:t>
            </w: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6.5 Five Categories </w:t>
            </w: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6.6 Preparation for Service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</w:tc>
      </w:tr>
      <w:tr w:rsidR="007C69EF" w:rsidTr="007C69EF">
        <w:tc>
          <w:tcPr>
            <w:cnfStyle w:val="001000000000"/>
            <w:tcW w:w="10790" w:type="dxa"/>
            <w:shd w:val="clear" w:color="auto" w:fill="F2F2F2"/>
          </w:tcPr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t xml:space="preserve">3. </w:t>
            </w:r>
            <w:r>
              <w:rPr>
                <w:rFonts w:eastAsia="SimSun"/>
              </w:rPr>
              <w:t>Beverage Control</w:t>
            </w:r>
          </w:p>
        </w:tc>
      </w:tr>
      <w:tr w:rsidR="007C69EF" w:rsidTr="007C69EF">
        <w:tc>
          <w:tcPr>
            <w:cnfStyle w:val="001000000000"/>
            <w:tcW w:w="10790" w:type="dxa"/>
          </w:tcPr>
          <w:p w:rsidR="007C69EF" w:rsidRDefault="007C69EF">
            <w:pPr>
              <w:spacing w:after="0" w:line="240" w:lineRule="auto"/>
            </w:pP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6.7 Classes of Menu </w:t>
            </w: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6.8 Food Storing &amp; Issuing Control </w:t>
            </w: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6.9 Issuing Control: Establishing </w:t>
            </w:r>
            <w:r>
              <w:rPr>
                <w:rFonts w:eastAsia="Segoe Print"/>
                <w:sz w:val="24"/>
                <w:szCs w:val="24"/>
              </w:rPr>
              <w:t>Standard and Standard Procedure for Issuing</w:t>
            </w:r>
          </w:p>
          <w:p w:rsidR="007C69EF" w:rsidRDefault="007C69EF">
            <w:pPr>
              <w:spacing w:after="0" w:line="240" w:lineRule="auto"/>
              <w:rPr>
                <w:b w:val="0"/>
              </w:rPr>
            </w:pPr>
          </w:p>
        </w:tc>
      </w:tr>
      <w:tr w:rsidR="007C69EF" w:rsidTr="007C69EF">
        <w:tc>
          <w:tcPr>
            <w:cnfStyle w:val="001000000000"/>
            <w:tcW w:w="10790" w:type="dxa"/>
            <w:shd w:val="clear" w:color="auto" w:fill="F2F2F2"/>
          </w:tcPr>
          <w:p w:rsidR="007C69EF" w:rsidRDefault="00990566">
            <w:pPr>
              <w:spacing w:after="0" w:line="240" w:lineRule="auto"/>
              <w:rPr>
                <w:b w:val="0"/>
              </w:rPr>
            </w:pPr>
            <w:r>
              <w:t xml:space="preserve">4. </w:t>
            </w:r>
            <w:r>
              <w:rPr>
                <w:rFonts w:eastAsia="SimSun"/>
              </w:rPr>
              <w:t>Designing Operational Areas, Equipment and Staffing of Food</w:t>
            </w:r>
            <w:r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service Operations</w:t>
            </w:r>
          </w:p>
        </w:tc>
      </w:tr>
      <w:tr w:rsidR="007C69EF" w:rsidTr="007C69EF">
        <w:tc>
          <w:tcPr>
            <w:cnfStyle w:val="001000000000"/>
            <w:tcW w:w="10790" w:type="dxa"/>
          </w:tcPr>
          <w:p w:rsidR="007C69EF" w:rsidRDefault="007C69EF">
            <w:pPr>
              <w:spacing w:after="0" w:line="240" w:lineRule="auto"/>
              <w:rPr>
                <w:b w:val="0"/>
              </w:rPr>
            </w:pP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proofErr w:type="gramStart"/>
            <w:r>
              <w:rPr>
                <w:rFonts w:eastAsia="Segoe Print"/>
                <w:sz w:val="24"/>
                <w:szCs w:val="24"/>
              </w:rPr>
              <w:t>6.10 Factor 1.</w:t>
            </w:r>
            <w:proofErr w:type="gramEnd"/>
            <w:r>
              <w:rPr>
                <w:rFonts w:eastAsia="Segoe Print"/>
                <w:sz w:val="24"/>
                <w:szCs w:val="24"/>
              </w:rPr>
              <w:t xml:space="preserve"> Condition of facilities and equipment </w:t>
            </w: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6.11 Factor 2: Arrangement of Foods</w:t>
            </w:r>
            <w:bookmarkStart w:id="0" w:name="_GoBack"/>
            <w:bookmarkEnd w:id="0"/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6.12 Factor 3: Location of Storage Facilities </w:t>
            </w:r>
          </w:p>
          <w:p w:rsidR="007C69EF" w:rsidRDefault="00990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6.13 Factor 4: Security</w:t>
            </w:r>
          </w:p>
          <w:p w:rsidR="007C69EF" w:rsidRDefault="00990566">
            <w:pPr>
              <w:spacing w:after="0" w:line="240" w:lineRule="auto"/>
              <w:rPr>
                <w:rFonts w:ascii="Segoe Print" w:eastAsia="Segoe Print" w:hAnsi="Segoe Print"/>
              </w:rPr>
            </w:pPr>
            <w:r>
              <w:rPr>
                <w:rFonts w:eastAsia="Segoe Print"/>
                <w:sz w:val="24"/>
                <w:szCs w:val="24"/>
              </w:rPr>
              <w:t>6.14 Factor 5: Dating and Pricing</w:t>
            </w:r>
            <w:r>
              <w:rPr>
                <w:rFonts w:ascii="Segoe Print" w:eastAsia="Segoe Print" w:hAnsi="Segoe Print"/>
              </w:rPr>
              <w:t xml:space="preserve"> </w:t>
            </w:r>
          </w:p>
          <w:p w:rsidR="007C69EF" w:rsidRDefault="007C69EF">
            <w:pPr>
              <w:spacing w:after="0" w:line="240" w:lineRule="auto"/>
              <w:rPr>
                <w:rFonts w:ascii="Segoe Print" w:eastAsia="Segoe Print" w:hAnsi="Segoe Print"/>
              </w:rPr>
            </w:pPr>
          </w:p>
        </w:tc>
      </w:tr>
    </w:tbl>
    <w:p w:rsidR="007C69EF" w:rsidRDefault="007C69EF">
      <w:bookmarkStart w:id="1" w:name="_gjdgxs" w:colFirst="0" w:colLast="0"/>
      <w:bookmarkEnd w:id="1"/>
    </w:p>
    <w:sectPr w:rsidR="007C69EF" w:rsidSect="007C69E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Print">
    <w:altName w:val="Times New Roman"/>
    <w:charset w:val="00"/>
    <w:family w:val="auto"/>
    <w:pitch w:val="default"/>
    <w:sig w:usb0="00000001" w:usb1="00000000" w:usb2="00000000" w:usb3="00000000" w:csb0="2000009F" w:csb1="4701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06895D8B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2DD2DFE"/>
    <w:multiLevelType w:val="multilevel"/>
    <w:tmpl w:val="22DD2DF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BD108C"/>
    <w:rsid w:val="000E176B"/>
    <w:rsid w:val="00105A4A"/>
    <w:rsid w:val="00124029"/>
    <w:rsid w:val="001F446C"/>
    <w:rsid w:val="002E57BC"/>
    <w:rsid w:val="004C0813"/>
    <w:rsid w:val="00571C75"/>
    <w:rsid w:val="006043E2"/>
    <w:rsid w:val="006C7A5E"/>
    <w:rsid w:val="006F608C"/>
    <w:rsid w:val="007342AE"/>
    <w:rsid w:val="007C69EF"/>
    <w:rsid w:val="008C5B17"/>
    <w:rsid w:val="00902BC9"/>
    <w:rsid w:val="00904E8C"/>
    <w:rsid w:val="00906FF2"/>
    <w:rsid w:val="00923337"/>
    <w:rsid w:val="00990566"/>
    <w:rsid w:val="00B973FA"/>
    <w:rsid w:val="00BD108C"/>
    <w:rsid w:val="00E80C89"/>
    <w:rsid w:val="0DDF1A0A"/>
    <w:rsid w:val="77593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9E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1">
    <w:name w:val="heading 1"/>
    <w:basedOn w:val="a"/>
    <w:next w:val="a"/>
    <w:rsid w:val="007C69E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C69EF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7C69E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rsid w:val="007C69E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7C69EF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qFormat/>
    <w:rsid w:val="007C69E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rsid w:val="007C69E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qFormat/>
    <w:rsid w:val="007C69EF"/>
    <w:pPr>
      <w:keepNext/>
      <w:keepLines/>
      <w:spacing w:after="0" w:line="240" w:lineRule="auto"/>
    </w:pPr>
    <w:rPr>
      <w:sz w:val="56"/>
      <w:szCs w:val="56"/>
    </w:rPr>
  </w:style>
  <w:style w:type="character" w:styleId="a5">
    <w:name w:val="Hyperlink"/>
    <w:basedOn w:val="a0"/>
    <w:uiPriority w:val="99"/>
    <w:unhideWhenUsed/>
    <w:qFormat/>
    <w:rsid w:val="007C69EF"/>
    <w:rPr>
      <w:color w:val="0000FF" w:themeColor="hyperlink"/>
      <w:u w:val="single"/>
    </w:rPr>
  </w:style>
  <w:style w:type="table" w:customStyle="1" w:styleId="Style11">
    <w:name w:val="_Style 11"/>
    <w:basedOn w:val="a1"/>
    <w:rsid w:val="007C69EF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2">
    <w:name w:val="_Style 12"/>
    <w:basedOn w:val="a1"/>
    <w:qFormat/>
    <w:rsid w:val="007C69EF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3">
    <w:name w:val="_Style 13"/>
    <w:basedOn w:val="a1"/>
    <w:qFormat/>
    <w:rsid w:val="007C69EF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customStyle="1" w:styleId="10">
    <w:name w:val="Абзац списка1"/>
    <w:basedOn w:val="a"/>
    <w:uiPriority w:val="34"/>
    <w:qFormat/>
    <w:rsid w:val="007C69EF"/>
    <w:pPr>
      <w:ind w:left="720"/>
      <w:contextualSpacing/>
    </w:pPr>
  </w:style>
  <w:style w:type="table" w:customStyle="1" w:styleId="PlainTable1">
    <w:name w:val="Plain Table 1"/>
    <w:basedOn w:val="a1"/>
    <w:uiPriority w:val="41"/>
    <w:qFormat/>
    <w:rsid w:val="007C69E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2618</Characters>
  <Application>Microsoft Office Word</Application>
  <DocSecurity>0</DocSecurity>
  <Lines>21</Lines>
  <Paragraphs>6</Paragraphs>
  <ScaleCrop>false</ScaleCrop>
  <Company>RL-TEAM.NET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2017-04-19T10:00:00Z</dcterms:created>
  <dcterms:modified xsi:type="dcterms:W3CDTF">2017-04-19T10:00:00Z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