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6028DF">
              <w:rPr>
                <w:b w:val="0"/>
              </w:rPr>
              <w:t>Hotel and Restaurant Management</w:t>
            </w:r>
            <w:r w:rsidRPr="002A361E">
              <w:rPr>
                <w:b w:val="0"/>
              </w:rPr>
              <w:t xml:space="preserve"> better as well as knowing the essentials in </w:t>
            </w:r>
            <w:r w:rsidR="006028DF">
              <w:rPr>
                <w:b w:val="0"/>
              </w:rPr>
              <w:t>H</w:t>
            </w:r>
            <w:r w:rsidRPr="002A361E">
              <w:rPr>
                <w:b w:val="0"/>
              </w:rPr>
              <w:t xml:space="preserve">ospitality </w:t>
            </w:r>
            <w:r w:rsidR="006028DF">
              <w:rPr>
                <w:b w:val="0"/>
              </w:rPr>
              <w:t>Management</w:t>
            </w:r>
            <w:r w:rsidRPr="002A361E">
              <w:rPr>
                <w:b w:val="0"/>
              </w:rPr>
              <w:t xml:space="preserve"> </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5F21EA">
              <w:rPr>
                <w:rFonts w:ascii="Arial" w:hAnsi="Arial" w:cs="Arial"/>
                <w:sz w:val="20"/>
              </w:rPr>
              <w:t>Hotel and Restaurant Management within a H</w:t>
            </w:r>
            <w:r w:rsidRPr="00AC0B93">
              <w:rPr>
                <w:rFonts w:ascii="Arial" w:hAnsi="Arial" w:cs="Arial"/>
                <w:sz w:val="20"/>
              </w:rPr>
              <w:t xml:space="preserve">ospitality </w:t>
            </w:r>
            <w:r w:rsidR="005F21EA">
              <w:rPr>
                <w:rFonts w:ascii="Arial" w:hAnsi="Arial" w:cs="Arial"/>
                <w:sz w:val="20"/>
              </w:rPr>
              <w:t xml:space="preserve">Management </w:t>
            </w:r>
            <w:r w:rsidRPr="00AC0B93">
              <w:rPr>
                <w:rFonts w:ascii="Arial" w:hAnsi="Arial" w:cs="Arial"/>
                <w:sz w:val="20"/>
              </w:rPr>
              <w:t>operations</w:t>
            </w:r>
          </w:p>
          <w:p w:rsidR="007450E2" w:rsidRPr="00AC0B93"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roles and responsibilities of </w:t>
            </w:r>
            <w:r w:rsidR="005F21EA">
              <w:rPr>
                <w:rFonts w:ascii="Arial" w:hAnsi="Arial" w:cs="Arial"/>
                <w:b w:val="0"/>
                <w:sz w:val="20"/>
              </w:rPr>
              <w:t xml:space="preserve">Hotel and Restaurant Management </w:t>
            </w:r>
            <w:r w:rsidRPr="00AC0B93">
              <w:rPr>
                <w:rFonts w:ascii="Arial" w:hAnsi="Arial" w:cs="Arial"/>
                <w:b w:val="0"/>
                <w:sz w:val="20"/>
              </w:rPr>
              <w:t>operations, with relevant examples.</w:t>
            </w: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AC0B93" w:rsidRPr="00AC0B93">
              <w:rPr>
                <w:rFonts w:ascii="Arial" w:hAnsi="Arial" w:cs="Arial"/>
                <w:b w:val="0"/>
                <w:sz w:val="20"/>
              </w:rPr>
              <w:t xml:space="preserve"> the </w:t>
            </w:r>
            <w:r>
              <w:rPr>
                <w:rFonts w:ascii="Arial" w:hAnsi="Arial" w:cs="Arial"/>
                <w:b w:val="0"/>
                <w:sz w:val="20"/>
              </w:rPr>
              <w:t xml:space="preserve">differences between Hygiene and Grooming </w:t>
            </w:r>
            <w:r w:rsidR="00AC0B93" w:rsidRPr="00AC0B93">
              <w:rPr>
                <w:rFonts w:ascii="Arial" w:hAnsi="Arial" w:cs="Arial"/>
                <w:b w:val="0"/>
                <w:sz w:val="20"/>
              </w:rPr>
              <w:t xml:space="preserve"> </w:t>
            </w:r>
          </w:p>
          <w:p w:rsidR="007050EF" w:rsidRDefault="00AC0B93" w:rsidP="007050EF">
            <w:pPr>
              <w:spacing w:before="100" w:beforeAutospacing="1" w:after="0"/>
              <w:rPr>
                <w:rFonts w:ascii="Arial" w:hAnsi="Arial" w:cs="Arial"/>
                <w:b w:val="0"/>
                <w:sz w:val="20"/>
              </w:rPr>
            </w:pPr>
            <w:r w:rsidRPr="00AC0B93">
              <w:rPr>
                <w:rFonts w:ascii="Arial" w:hAnsi="Arial" w:cs="Arial"/>
                <w:b w:val="0"/>
                <w:sz w:val="20"/>
              </w:rPr>
              <w:t xml:space="preserve">Describe the </w:t>
            </w:r>
            <w:r w:rsidR="005F21EA">
              <w:rPr>
                <w:rFonts w:ascii="Arial" w:hAnsi="Arial" w:cs="Arial"/>
                <w:b w:val="0"/>
                <w:sz w:val="20"/>
              </w:rPr>
              <w:t>purpose of Grooming in Hotel Management Industry. You are also required to show relevant examples of Proper Appearance</w:t>
            </w:r>
            <w:r w:rsidRPr="00AC0B93">
              <w:rPr>
                <w:rFonts w:ascii="Arial" w:hAnsi="Arial" w:cs="Arial"/>
                <w:b w:val="0"/>
                <w:sz w:val="20"/>
              </w:rPr>
              <w:t>.</w:t>
            </w:r>
            <w:r w:rsidR="005F21EA">
              <w:rPr>
                <w:rFonts w:ascii="Arial" w:hAnsi="Arial" w:cs="Arial"/>
                <w:b w:val="0"/>
                <w:sz w:val="20"/>
              </w:rPr>
              <w:t xml:space="preserve"> (</w:t>
            </w:r>
            <w:r w:rsidR="005F21EA" w:rsidRPr="005F21EA">
              <w:rPr>
                <w:rFonts w:ascii="Arial" w:hAnsi="Arial" w:cs="Arial"/>
                <w:b w:val="0"/>
                <w:i/>
                <w:sz w:val="20"/>
              </w:rPr>
              <w:t>Hairstyle, Attire, footwear, hands &amp; nails and etc</w:t>
            </w:r>
            <w:r w:rsidR="005F21EA">
              <w:rPr>
                <w:rFonts w:ascii="Arial" w:hAnsi="Arial" w:cs="Arial"/>
                <w:b w:val="0"/>
                <w:sz w:val="20"/>
              </w:rPr>
              <w:t>.)</w:t>
            </w:r>
          </w:p>
          <w:p w:rsidR="007450E2" w:rsidRPr="007050EF" w:rsidRDefault="007450E2" w:rsidP="007050EF">
            <w:pPr>
              <w:spacing w:before="100" w:beforeAutospacing="1" w:after="0"/>
              <w:rPr>
                <w:rFonts w:ascii="Arial" w:hAnsi="Arial" w:cs="Arial"/>
                <w:b w:val="0"/>
                <w:sz w:val="20"/>
              </w:rPr>
            </w:pPr>
            <w:r w:rsidRPr="00C16D16">
              <w:rPr>
                <w:rFonts w:ascii="Arial" w:eastAsia="Times New Roman" w:hAnsi="Arial" w:cs="Arial"/>
                <w:b w:val="0"/>
                <w:sz w:val="20"/>
                <w:szCs w:val="20"/>
              </w:rPr>
              <w:t xml:space="preserve">You are then required to provide relevant examples to explain the importance of </w:t>
            </w:r>
            <w:r w:rsidR="005F21EA">
              <w:rPr>
                <w:rFonts w:ascii="Arial" w:eastAsia="Times New Roman" w:hAnsi="Arial" w:cs="Arial"/>
                <w:b w:val="0"/>
                <w:sz w:val="20"/>
                <w:szCs w:val="20"/>
              </w:rPr>
              <w:t xml:space="preserve">Neat and Attractive appearance. </w:t>
            </w:r>
          </w:p>
          <w:p w:rsidR="007450E2" w:rsidRDefault="007050EF" w:rsidP="00552F05">
            <w:pPr>
              <w:rPr>
                <w:rFonts w:ascii="Times New Roman" w:hAnsi="Times New Roman" w:cs="Times New Roman"/>
                <w:b w:val="0"/>
              </w:rPr>
            </w:pPr>
            <w:r>
              <w:rPr>
                <w:rFonts w:ascii="Times New Roman" w:hAnsi="Times New Roman" w:cs="Times New Roman"/>
                <w:b w:val="0"/>
              </w:rPr>
              <w:lastRenderedPageBreak/>
              <w:t xml:space="preserve">Understand the concept and criteria of Catering Service in Hospitality Industry. </w:t>
            </w:r>
          </w:p>
          <w:p w:rsidR="007050EF" w:rsidRDefault="007050EF" w:rsidP="00552F05">
            <w:pPr>
              <w:rPr>
                <w:rFonts w:ascii="Times New Roman" w:hAnsi="Times New Roman" w:cs="Times New Roman"/>
                <w:b w:val="0"/>
              </w:rPr>
            </w:pPr>
            <w:r>
              <w:rPr>
                <w:rFonts w:ascii="Times New Roman" w:hAnsi="Times New Roman" w:cs="Times New Roman"/>
                <w:b w:val="0"/>
              </w:rPr>
              <w:t xml:space="preserve">Describe and elaborate the services and criteria applies in Catering Service. You are also required to explain the Quality Service in Catering. </w:t>
            </w:r>
          </w:p>
          <w:p w:rsidR="007050EF" w:rsidRDefault="007050EF" w:rsidP="00552F05">
            <w:pPr>
              <w:rPr>
                <w:rFonts w:ascii="Times New Roman" w:hAnsi="Times New Roman" w:cs="Times New Roman"/>
                <w:b w:val="0"/>
              </w:rPr>
            </w:pPr>
          </w:p>
          <w:p w:rsidR="007050EF" w:rsidRDefault="009A2355" w:rsidP="00552F05">
            <w:pPr>
              <w:rPr>
                <w:rFonts w:ascii="Times New Roman" w:hAnsi="Times New Roman" w:cs="Times New Roman"/>
                <w:b w:val="0"/>
              </w:rPr>
            </w:pPr>
            <w:r>
              <w:rPr>
                <w:rFonts w:ascii="Times New Roman" w:hAnsi="Times New Roman" w:cs="Times New Roman"/>
                <w:b w:val="0"/>
              </w:rPr>
              <w:t xml:space="preserve">Understanding of Front office department role and responsibility and the functions in Hospitality Management. </w:t>
            </w:r>
          </w:p>
          <w:p w:rsidR="009A2355" w:rsidRPr="007050EF" w:rsidRDefault="009A2355" w:rsidP="00552F05">
            <w:pPr>
              <w:rPr>
                <w:rFonts w:ascii="Times New Roman" w:hAnsi="Times New Roman" w:cs="Times New Roman"/>
                <w:b w:val="0"/>
              </w:rPr>
            </w:pPr>
            <w:r>
              <w:rPr>
                <w:rFonts w:ascii="Times New Roman" w:hAnsi="Times New Roman" w:cs="Times New Roman"/>
                <w:b w:val="0"/>
              </w:rPr>
              <w:t xml:space="preserve">Describe and link together the Function of Front Office Department and Hotel Costing arrangement. </w:t>
            </w:r>
            <w:r w:rsidRPr="009A2355">
              <w:rPr>
                <w:rFonts w:ascii="Times New Roman" w:hAnsi="Times New Roman" w:cs="Times New Roman"/>
                <w:b w:val="0"/>
                <w:i/>
              </w:rPr>
              <w:t xml:space="preserve">(The day-to–day expenses incurred in running a business)  </w:t>
            </w:r>
          </w:p>
        </w:tc>
        <w:tc>
          <w:tcPr>
            <w:tcW w:w="4505" w:type="dxa"/>
          </w:tcPr>
          <w:p w:rsidR="007450E2" w:rsidRPr="00AC0B93" w:rsidRDefault="007450E2" w:rsidP="007450E2">
            <w:pPr>
              <w:pStyle w:val="ListParagraph"/>
              <w:numPr>
                <w:ilvl w:val="0"/>
                <w:numId w:val="19"/>
              </w:numPr>
              <w:cnfStyle w:val="000000000000"/>
              <w:rPr>
                <w:rFonts w:ascii="Arial" w:hAnsi="Arial" w:cs="Arial"/>
                <w:sz w:val="20"/>
              </w:rPr>
            </w:pPr>
            <w:r w:rsidRPr="00AC0B93">
              <w:rPr>
                <w:rFonts w:ascii="Arial" w:hAnsi="Arial" w:cs="Arial"/>
                <w:sz w:val="20"/>
              </w:rPr>
              <w:lastRenderedPageBreak/>
              <w:t>Define the role and responsibili</w:t>
            </w:r>
            <w:r w:rsidR="00601652">
              <w:rPr>
                <w:rFonts w:ascii="Arial" w:hAnsi="Arial" w:cs="Arial"/>
                <w:sz w:val="20"/>
              </w:rPr>
              <w:t>ties</w:t>
            </w:r>
            <w:r w:rsidR="005F21EA">
              <w:rPr>
                <w:rFonts w:ascii="Arial" w:hAnsi="Arial" w:cs="Arial"/>
                <w:sz w:val="20"/>
              </w:rPr>
              <w:t xml:space="preserve"> of Hotel Management and</w:t>
            </w:r>
            <w:r w:rsidR="00601652">
              <w:rPr>
                <w:rFonts w:ascii="Arial" w:hAnsi="Arial" w:cs="Arial"/>
                <w:sz w:val="20"/>
              </w:rPr>
              <w:t xml:space="preserve"> Restaurant Management </w:t>
            </w:r>
            <w:r w:rsidRPr="00AC0B93">
              <w:rPr>
                <w:rFonts w:ascii="Arial" w:hAnsi="Arial" w:cs="Arial"/>
                <w:sz w:val="20"/>
              </w:rPr>
              <w:t>and the links betwe</w:t>
            </w:r>
            <w:r w:rsidR="00601652">
              <w:rPr>
                <w:rFonts w:ascii="Arial" w:hAnsi="Arial" w:cs="Arial"/>
                <w:sz w:val="20"/>
              </w:rPr>
              <w:t xml:space="preserve">en both </w:t>
            </w:r>
            <w:r w:rsidRPr="00AC0B93">
              <w:rPr>
                <w:rFonts w:ascii="Arial" w:hAnsi="Arial" w:cs="Arial"/>
                <w:sz w:val="20"/>
              </w:rPr>
              <w:t>departments.</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Pr="00AC0B93" w:rsidRDefault="007450E2" w:rsidP="007450E2">
            <w:pPr>
              <w:cnfStyle w:val="000000000000"/>
              <w:rPr>
                <w:rFonts w:ascii="Arial" w:hAnsi="Arial" w:cs="Arial"/>
                <w:sz w:val="20"/>
              </w:rPr>
            </w:pPr>
          </w:p>
          <w:p w:rsidR="007450E2" w:rsidRPr="00AC0B93" w:rsidRDefault="00601652" w:rsidP="007450E2">
            <w:pPr>
              <w:pStyle w:val="NormalWeb"/>
              <w:numPr>
                <w:ilvl w:val="0"/>
                <w:numId w:val="19"/>
              </w:numPr>
              <w:cnfStyle w:val="000000000000"/>
              <w:rPr>
                <w:rFonts w:ascii="Arial" w:hAnsi="Arial" w:cs="Arial"/>
                <w:sz w:val="20"/>
                <w:szCs w:val="22"/>
              </w:rPr>
            </w:pPr>
            <w:r>
              <w:rPr>
                <w:rFonts w:ascii="Arial" w:hAnsi="Arial" w:cs="Arial"/>
                <w:sz w:val="20"/>
                <w:szCs w:val="22"/>
              </w:rPr>
              <w:t>Explain the difference in Hygiene and Grooming</w:t>
            </w:r>
            <w:r w:rsidR="007450E2" w:rsidRPr="00AC0B93">
              <w:rPr>
                <w:rFonts w:ascii="Arial" w:hAnsi="Arial" w:cs="Arial"/>
                <w:sz w:val="20"/>
                <w:szCs w:val="22"/>
              </w:rPr>
              <w:t>.</w:t>
            </w:r>
          </w:p>
          <w:p w:rsidR="007450E2" w:rsidRPr="00AC0B93"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601652">
              <w:rPr>
                <w:rFonts w:ascii="Arial" w:hAnsi="Arial" w:cs="Arial"/>
                <w:sz w:val="20"/>
                <w:szCs w:val="22"/>
              </w:rPr>
              <w:t xml:space="preserve"> the purpose of Proper Appearance and Why neat and attractive appearance is important in Hotel and Restaurant Management </w:t>
            </w:r>
            <w:r w:rsidR="009A2355">
              <w:rPr>
                <w:rFonts w:ascii="Arial" w:hAnsi="Arial" w:cs="Arial"/>
                <w:sz w:val="20"/>
                <w:szCs w:val="22"/>
              </w:rPr>
              <w:t>Industry.</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Pr="00AC0B93" w:rsidRDefault="007450E2" w:rsidP="007450E2">
            <w:pPr>
              <w:cnfStyle w:val="000000000000"/>
              <w:rPr>
                <w:rFonts w:ascii="Arial" w:hAnsi="Arial" w:cs="Arial"/>
                <w:b/>
                <w:sz w:val="20"/>
              </w:rPr>
            </w:pPr>
          </w:p>
          <w:p w:rsidR="007450E2" w:rsidRPr="00AC0B93" w:rsidRDefault="007050EF" w:rsidP="007050EF">
            <w:pPr>
              <w:pStyle w:val="NormalWeb"/>
              <w:numPr>
                <w:ilvl w:val="0"/>
                <w:numId w:val="19"/>
              </w:numPr>
              <w:cnfStyle w:val="000000000000"/>
              <w:rPr>
                <w:rFonts w:ascii="Arial" w:hAnsi="Arial" w:cs="Arial"/>
                <w:sz w:val="20"/>
                <w:szCs w:val="22"/>
              </w:rPr>
            </w:pPr>
            <w:r>
              <w:rPr>
                <w:rFonts w:ascii="Arial" w:hAnsi="Arial" w:cs="Arial"/>
                <w:sz w:val="20"/>
                <w:szCs w:val="22"/>
              </w:rPr>
              <w:lastRenderedPageBreak/>
              <w:t xml:space="preserve">Brief about </w:t>
            </w:r>
            <w:r w:rsidR="00601652">
              <w:rPr>
                <w:rFonts w:ascii="Arial" w:hAnsi="Arial" w:cs="Arial"/>
                <w:sz w:val="20"/>
                <w:szCs w:val="22"/>
              </w:rPr>
              <w:t>Catering Service</w:t>
            </w:r>
            <w:r>
              <w:rPr>
                <w:rFonts w:ascii="Arial" w:hAnsi="Arial" w:cs="Arial"/>
                <w:sz w:val="20"/>
                <w:szCs w:val="22"/>
              </w:rPr>
              <w:t xml:space="preserve"> in Hospitality.</w:t>
            </w:r>
          </w:p>
          <w:p w:rsidR="007450E2" w:rsidRPr="00AC0B93" w:rsidRDefault="007450E2" w:rsidP="007450E2">
            <w:pPr>
              <w:pStyle w:val="ListParagraph"/>
              <w:cnfStyle w:val="000000000000"/>
              <w:rPr>
                <w:rFonts w:ascii="Arial" w:hAnsi="Arial" w:cs="Arial"/>
                <w:sz w:val="20"/>
              </w:rPr>
            </w:pPr>
            <w:r w:rsidRPr="00AC0B93">
              <w:rPr>
                <w:rFonts w:ascii="Arial" w:hAnsi="Arial" w:cs="Arial"/>
                <w:sz w:val="20"/>
              </w:rPr>
              <w:t xml:space="preserve">Describe the </w:t>
            </w:r>
            <w:r w:rsidR="00601652">
              <w:rPr>
                <w:rFonts w:ascii="Arial" w:hAnsi="Arial" w:cs="Arial"/>
                <w:sz w:val="20"/>
              </w:rPr>
              <w:t>process and criteria in Catering</w:t>
            </w:r>
            <w:r w:rsidRPr="00AC0B93">
              <w:rPr>
                <w:rFonts w:ascii="Arial" w:hAnsi="Arial" w:cs="Arial"/>
                <w:sz w:val="20"/>
              </w:rPr>
              <w:t>.</w:t>
            </w: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7050EF" w:rsidRPr="007050EF"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 xml:space="preserve">Explain in detail about Functions of Front Office Department and How Hotel Costing engage together with the Department.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E13AD"/>
    <w:rsid w:val="001C274A"/>
    <w:rsid w:val="00304872"/>
    <w:rsid w:val="00326F8F"/>
    <w:rsid w:val="003D6699"/>
    <w:rsid w:val="00421D65"/>
    <w:rsid w:val="00463058"/>
    <w:rsid w:val="004904D0"/>
    <w:rsid w:val="004A4D76"/>
    <w:rsid w:val="00561BF3"/>
    <w:rsid w:val="005A36A5"/>
    <w:rsid w:val="005B42A6"/>
    <w:rsid w:val="005D24AC"/>
    <w:rsid w:val="005F21EA"/>
    <w:rsid w:val="00601652"/>
    <w:rsid w:val="006028DF"/>
    <w:rsid w:val="00612B77"/>
    <w:rsid w:val="00625856"/>
    <w:rsid w:val="006647F3"/>
    <w:rsid w:val="006E1E9C"/>
    <w:rsid w:val="007050EF"/>
    <w:rsid w:val="00711B2F"/>
    <w:rsid w:val="007450E2"/>
    <w:rsid w:val="007D2A64"/>
    <w:rsid w:val="00841747"/>
    <w:rsid w:val="00854D49"/>
    <w:rsid w:val="00933FF3"/>
    <w:rsid w:val="009A2355"/>
    <w:rsid w:val="009D3C9F"/>
    <w:rsid w:val="00A45543"/>
    <w:rsid w:val="00A665F7"/>
    <w:rsid w:val="00AB38DC"/>
    <w:rsid w:val="00AC0B93"/>
    <w:rsid w:val="00B17045"/>
    <w:rsid w:val="00C16D16"/>
    <w:rsid w:val="00CA220B"/>
    <w:rsid w:val="00D06B4F"/>
    <w:rsid w:val="00D1436C"/>
    <w:rsid w:val="00E5022B"/>
    <w:rsid w:val="00EA6EB7"/>
    <w:rsid w:val="00EB01D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A30E2F-1806-4683-87D4-7CAA1319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3</cp:revision>
  <dcterms:created xsi:type="dcterms:W3CDTF">2017-03-24T04:18:00Z</dcterms:created>
  <dcterms:modified xsi:type="dcterms:W3CDTF">2017-03-24T04:21:00Z</dcterms:modified>
</cp:coreProperties>
</file>