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080" w:firstLineChars="30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如果没有借条或者借条毁灭，</w:t>
      </w:r>
      <w:r>
        <w:rPr>
          <w:rFonts w:hint="eastAsia"/>
          <w:sz w:val="36"/>
          <w:szCs w:val="36"/>
          <w:lang w:val="en-US" w:eastAsia="zh-CN"/>
        </w:rPr>
        <w:t>怎么办</w:t>
      </w:r>
      <w:r>
        <w:rPr>
          <w:rFonts w:hint="eastAsia"/>
          <w:sz w:val="36"/>
          <w:szCs w:val="36"/>
        </w:rPr>
        <w:t>?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此时出借人可从间接证据入手，以形成间接证据链。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1、借过钱的证据：提供当时把钱借给对方的证据，比如向对方转账的银行凭证;如是现金方式支付，要打印从银行取现金的凭条或在场证明人等。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2、主张债权的证据：收集曾向借款人要过钱的证据，可以是对方书面形式的还款计划，也可以录音、录像的形式证明曾多次向对方要求还钱。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3、对方财产信息：出借人向法院申请强制执行后，对方称无力还钱，出借人可尽量摸清对方的财产情况，主要是房子、车、公司等，向法院提供有效线索。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A4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齐眼</cp:lastModifiedBy>
  <dcterms:modified xsi:type="dcterms:W3CDTF">2019-04-15T03:47:41Z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2052-11.1.0.8642</vt:lpwstr>
  </property>
</Properties>
</file>