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360"/>
        <w:jc w:val="center"/>
      </w:pPr>
      <w:r>
        <w:rPr>
          <w:rFonts w:ascii="Arial" w:cs="Arial" w:eastAsia="Arial" w:hAnsi="Arial"/>
          <w:b/>
          <w:bCs/>
          <w:sz w:val="26"/>
          <w:szCs w:val="26"/>
        </w:rPr>
        <w:t xml:space="preserve">INSTITUTO FEDERAL DE EDUCAÇÃO, CIÊNCIA E TECNOLOGIA DE RONDÔNIA</w:t>
      </w:r>
    </w:p>
    <w:p>
      <w:pPr>
        <w:spacing w:after="0" w:line="360"/>
        <w:jc w:val="center"/>
      </w:pPr>
      <w:r>
        <w:rPr>
          <w:rFonts w:ascii="Arial" w:cs="Arial" w:eastAsia="Arial" w:hAnsi="Arial"/>
          <w:b/>
          <w:bCs/>
          <w:sz w:val="26"/>
          <w:szCs w:val="26"/>
        </w:rPr>
        <w:t xml:space="preserve">CAMPUS VILHENA</w:t>
      </w:r>
    </w:p>
    <w:p>
      <w:pPr>
        <w:spacing w:after="0"/>
      </w:pPr>
      <w:r>
        <w:rPr>
          <w:sz w:val="24"/>
          <w:szCs w:val="24"/>
        </w:rPr>
        <w:t xml:space="preserve"/>
      </w:r>
    </w:p>
    <w:p>
      <w:pPr>
        <w:spacing w:after="0"/>
      </w:pPr>
      <w:r>
        <w:rPr>
          <w:sz w:val="24"/>
          <w:szCs w:val="24"/>
        </w:rPr>
        <w:t xml:space="preserve"/>
      </w:r>
    </w:p>
    <w:p>
      <w:pPr>
        <w:spacing w:after="0" w:line="360"/>
        <w:jc w:val="center"/>
      </w:pPr>
      <w:r>
        <w:rPr>
          <w:rFonts w:ascii="Arial" w:cs="Arial" w:eastAsia="Arial" w:hAnsi="Arial"/>
          <w:sz w:val="24"/>
          <w:szCs w:val="24"/>
        </w:rPr>
        <w:t xml:space="preserve">ANÁLISE E DESENVOLVIMENTO DE SISTEMAS</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360"/>
        <w:jc w:val="center"/>
      </w:pPr>
      <w:r>
        <w:rPr>
          <w:rFonts w:ascii="Arial" w:cs="Arial" w:eastAsia="Arial" w:hAnsi="Arial"/>
          <w:b/>
          <w:bCs/>
          <w:sz w:val="28"/>
          <w:szCs w:val="28"/>
        </w:rPr>
        <w:t xml:space="preserve">KAUÃ DA SILVA FERNANDES</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360"/>
        <w:jc w:val="center"/>
      </w:pPr>
      <w:r>
        <w:rPr>
          <w:rFonts w:ascii="Arial" w:cs="Arial" w:eastAsia="Arial" w:hAnsi="Arial"/>
          <w:b/>
          <w:bCs/>
          <w:sz w:val="26"/>
          <w:szCs w:val="26"/>
        </w:rPr>
        <w:t xml:space="preserve">ATIVIDADE ES-03 — PROTOTIPAÇÃO, SITE MAP E IFML</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360"/>
        <w:jc w:val="center"/>
      </w:pPr>
      <w:r>
        <w:rPr>
          <w:rFonts w:ascii="Arial" w:cs="Arial" w:eastAsia="Arial" w:hAnsi="Arial"/>
          <w:sz w:val="24"/>
          <w:szCs w:val="24"/>
        </w:rPr>
        <w:t xml:space="preserve">Vilhena/RO</w:t>
      </w:r>
    </w:p>
    <w:p>
      <w:pPr>
        <w:spacing w:after="0" w:line="360"/>
        <w:jc w:val="center"/>
      </w:pPr>
      <w:r>
        <w:rPr>
          <w:rFonts w:ascii="Arial" w:cs="Arial" w:eastAsia="Arial" w:hAnsi="Arial"/>
          <w:sz w:val="24"/>
          <w:szCs w:val="24"/>
        </w:rPr>
        <w:t xml:space="preserve">2026</w:t>
      </w:r>
    </w:p>
    <w:p>
      <w:pPr>
        <w:sectPr>
          <w:pgSz w:w="11906" w:h="16838" w:orient="portrait"/>
          <w:pgMar w:top="1701" w:right="1134" w:bottom="1134" w:left="1701" w:header="709" w:footer="720" w:gutter="0"/>
          <w:pgNumType/>
          <w:titlePg/>
          <w:docGrid w:linePitch="360"/>
        </w:sectPr>
      </w:pPr>
    </w:p>
    <w:p>
      <w:pPr>
        <w:spacing w:after="240" w:before="480" w:line="360"/>
        <w:jc w:val="left"/>
      </w:pPr>
      <w:r>
        <w:rPr>
          <w:rFonts w:ascii="Arial" w:cs="Arial" w:eastAsia="Arial" w:hAnsi="Arial"/>
          <w:b/>
          <w:bCs/>
          <w:sz w:val="24"/>
          <w:szCs w:val="24"/>
        </w:rPr>
        <w:t xml:space="preserve">1 PARTE A — REVISÃO DO SITE MAP</w:t>
      </w:r>
    </w:p>
    <w:p>
      <w:pPr>
        <w:spacing w:after="200" w:before="360" w:line="360"/>
        <w:jc w:val="left"/>
      </w:pPr>
      <w:r>
        <w:rPr>
          <w:rFonts w:ascii="Arial" w:cs="Arial" w:eastAsia="Arial" w:hAnsi="Arial"/>
          <w:b/>
          <w:bCs/>
          <w:sz w:val="24"/>
          <w:szCs w:val="24"/>
        </w:rPr>
        <w:t xml:space="preserve">1.1 A1 — Identificação dos problemas</w:t>
      </w:r>
    </w:p>
    <w:p>
      <w:pPr>
        <w:spacing w:after="200" w:before="0" w:line="360"/>
        <w:ind w:firstLine="709"/>
        <w:jc w:val="both"/>
      </w:pPr>
      <w:r>
        <w:rPr>
          <w:rFonts w:ascii="Arial" w:cs="Arial" w:eastAsia="Arial" w:hAnsi="Arial"/>
          <w:i w:val="false"/>
          <w:iCs w:val="false"/>
          <w:sz w:val="24"/>
          <w:szCs w:val="24"/>
        </w:rPr>
        <w:t xml:space="preserve">Esta seção analisa o Site Map “proposto — Sistema de Reserva de Laboratórios”, artefato entregue pela equipe fictícia para revisão, identificando seis problemas de arquitetura da informação. Para cada problema, indicam-se o nome, a localização exata na figura original, a justificativa técnica de por que a estrutura compromete o Site Map e a correção proposta. As seis correções são integralmente refletidas no Site Map corrigido apresentado na seção 1.2.</w:t>
      </w:r>
    </w:p>
    <w:p>
      <w:pPr>
        <w:spacing w:after="160" w:before="280" w:line="360"/>
        <w:jc w:val="left"/>
      </w:pPr>
      <w:r>
        <w:rPr>
          <w:rFonts w:ascii="Arial" w:cs="Arial" w:eastAsia="Arial" w:hAnsi="Arial"/>
          <w:b/>
          <w:bCs/>
          <w:i/>
          <w:iCs/>
          <w:sz w:val="24"/>
          <w:szCs w:val="24"/>
        </w:rPr>
        <w:t xml:space="preserve">1.1.1 Problema A1.1 — Ação de autenticação representada como área de navegação</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nó “Fazer login”, no Nível 1, posicionado como irmão hierárquico direto de “Reservas” e “Administração”, subordinado a “Home”.</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um Site Map organiza páginas e áreas de conteúdo ou funcionalidade em uma hierarquia que comunica ao leitor a natureza e a abrangência de cada seção do sistema (ROSENFELD; MORVILLE; ARANGO, 2015). “Reservas” e “Administração” são áreas funcionais que agregam múltiplas páginas relacionadas a domínios distintos do sistema — reservar laboratórios e administrar relatórios, respectivamente —, ao passo que “Fazer login” é uma ação pontual de autenticação, sem conteúdo ou subpáginas próprias: no diagrama original, esse nó não possui nenhum filho. Ao posicionar “Fazer login” no mesmo nível hierárquico das duas áreas funcionais, o Site Map sugere, incorretamente, que o login tem a mesma natureza e abrangência de “Reservas” e “Administração”, o que compromete a coerência semântica da hierarquia: o leitor não consegue distinguir, apenas pela posição no diagrama, quais nós representam áreas de conteúdo navegáveis e qual representa um portão de acesso transversal ao sistema.</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remover “Fazer login” da fileira de áreas funcionais de Nível 1 e representá-lo como uma ação de sistema, transversal e acessível a partir de “Home”, separada estruturalmente do agrupamento de áreas de conteúdo.</w:t>
      </w:r>
    </w:p>
    <w:p>
      <w:pPr>
        <w:spacing w:after="160" w:before="280" w:line="360"/>
        <w:jc w:val="left"/>
      </w:pPr>
      <w:r>
        <w:rPr>
          <w:rFonts w:ascii="Arial" w:cs="Arial" w:eastAsia="Arial" w:hAnsi="Arial"/>
          <w:b/>
          <w:bCs/>
          <w:i/>
          <w:iCs/>
          <w:sz w:val="24"/>
          <w:szCs w:val="24"/>
        </w:rPr>
        <w:t xml:space="preserve">1.1.2 Problema A1.2 — Página órfã</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nó “Cancelar reserva”, no Nível 3, ao lado de “Relatório de ocupação” — sem linha de conexão a “Minhas reservas”, “Reservas”, “Relatórios” ou a qualquer outro nó do Site Map.</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uma página órfã é aquela que aparece no diagrama sem vínculo hierárquico com nenhum nó superior, o que impede identificar sob qual área funcional ela se encontra, qual o seu perfil de acesso e por qual caminho de navegação um usuário chegaria até ela. No caso de “Cancelar reserva”, essa desconexão é agravada pela ausência de qualquer marcação de acesso (público, professor ou coordenação) associada ao nó, rompendo a rastreabilidade entre páginas e perfis que o restante do Site Map mantém. Uma hierarquia com nós desconectados deixa de comunicar, de forma confiável, a arquitetura real do sistema.</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vincular “Cancelar reserva” como página filha de “Minhas reservas” — local em que um professor consultaria suas reservas ativas e, coerentemente, as cancelaria —, herdando o perfil de acesso “professor”.</w:t>
      </w:r>
    </w:p>
    <w:p>
      <w:pPr>
        <w:spacing w:after="160" w:before="280" w:line="360"/>
        <w:jc w:val="left"/>
      </w:pPr>
      <w:r>
        <w:rPr>
          <w:rFonts w:ascii="Arial" w:cs="Arial" w:eastAsia="Arial" w:hAnsi="Arial"/>
          <w:b/>
          <w:bCs/>
          <w:i/>
          <w:iCs/>
          <w:sz w:val="24"/>
          <w:szCs w:val="24"/>
        </w:rPr>
        <w:t xml:space="preserve">1.1.3 Problema A1.3 — Etapa de formulário representada como página independente</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nó “Escolher laboratório”, no Nível 3, subordinado a “Criar nova reserva” (ramo Home → Reservas → Criar nova reserva → Escolher laboratório).</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o wireframe “Criar nova reserva”, revisado na Parte B deste documento, mostra que a escolha do laboratório (tabela “Laboratórios”, com colunas Lab, Capacidade, Software instalado, Bloco e Selecionar) já ocorre na mesma tela em que são preenchidos os campos Data, Hora inicial, Hora final, Turma e Qtd. alunos, e a partir da qual se aciona “Salvar”. Não há, no wireframe fornecido, nenhuma tela distinta dedicada exclusivamente à escolha do laboratório. Representar “Escolher laboratório” como página independente no Site Map, portanto, transforma um componente de formulário — uma tabela de seleção dentro de “Criar nova reserva” — em uma página hierárquica autônoma, misturando a representação do fluxo de preenchimento (sequência de interação dentro de uma única tela) com a representação da estrutura de navegação, que é o propósito de um Site Map (ROSENFELD; MORVILLE; ARANGO, 2015).</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eliminar o nó “Escolher laboratório” do Site Map; a seleção do laboratório passa a ser tratada como conteúdo da própria página “Criar nova reserva”, sem gerar nível hierárquico adicional.</w:t>
      </w:r>
    </w:p>
    <w:p>
      <w:pPr>
        <w:spacing w:after="160" w:before="280" w:line="360"/>
        <w:jc w:val="left"/>
      </w:pPr>
      <w:r>
        <w:rPr>
          <w:rFonts w:ascii="Arial" w:cs="Arial" w:eastAsia="Arial" w:hAnsi="Arial"/>
          <w:b/>
          <w:bCs/>
          <w:i/>
          <w:iCs/>
          <w:sz w:val="24"/>
          <w:szCs w:val="24"/>
        </w:rPr>
        <w:t xml:space="preserve">1.1.4 Problema A1.4 — Nó raiz sem perfil de acesso definido</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nó “Home”, no Nível 0.</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o próprio Site Map utiliza uma legenda de acesso (público, professor, coordenação) para classificar cada área quanto ao perfil que pode alcançá-la, mas essa classificação não é aplicada a “Home”. Essa omissão gera ambiguidade: “Fazer login” — filho direto de Home — está marcado como público, o que sugere que Home é alcançável sem autenticação prévia; ao mesmo tempo, dois dos demais filhos de Home (“Reservas” e “Administração”) exigem perfis restritos, sem que o diagrama esclareça se essa restrição já se aplica à própria Home ou apenas às áreas subordinadas a ela. Um Site Map que deixa o nó raiz sem classificação de acesso compromete justamente a informação que a legenda foi criada para comunicar de forma inequívoca.</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atribuir explicitamente o perfil de acesso “público” ao nó “Home”, deixando claro que a página inicial é alcançável sem autenticação e que as restrições de perfil passam a valer a partir das áreas funcionais subordinadas.</w:t>
      </w:r>
    </w:p>
    <w:p>
      <w:pPr>
        <w:spacing w:after="160" w:before="280" w:line="360"/>
        <w:jc w:val="left"/>
      </w:pPr>
      <w:r>
        <w:rPr>
          <w:rFonts w:ascii="Arial" w:cs="Arial" w:eastAsia="Arial" w:hAnsi="Arial"/>
          <w:b/>
          <w:bCs/>
          <w:i/>
          <w:iCs/>
          <w:sz w:val="24"/>
          <w:szCs w:val="24"/>
        </w:rPr>
        <w:t xml:space="preserve">1.1.5 Problema A1.5 — Nível hierárquico sem função organizacional</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ramo Home → Administração → Relatórios → Relatório de ocupação.</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o nó “Relatórios” agrupa um único item filho, “Relatório de ocupação”. Um nível de agrupamento se justifica quando organiza dois ou mais itens relacionados, diferenciando-os de outros conjuntos de conteúdo (ROSENFELD; MORVILLE; ARANGO, 2015); quando um nó intermediário possui exatamente um filho, ele acrescenta profundidade à hierarquia sem cumprir função organizacional alguma, pois não há, entre os relatórios do sistema apresentados no artefato, nenhuma outra opção da qual “Relatório de ocupação” precise ser diferenciado por meio desse agrupamento. Esse nível supérfluo obriga o usuário a navegar por uma camada adicional sem ganho de clareza e distancia desnecessariamente “Relatório de ocupação” de “Administração”.</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eliminar o nó “Relatórios” e promover “Relatório de ocupação” a filho direto de “Administração”, reduzindo a profundidade do ramo sem perda de conteúdo.</w:t>
      </w:r>
    </w:p>
    <w:p>
      <w:pPr>
        <w:spacing w:after="160" w:before="280" w:line="360"/>
        <w:jc w:val="left"/>
      </w:pPr>
      <w:r>
        <w:rPr>
          <w:rFonts w:ascii="Arial" w:cs="Arial" w:eastAsia="Arial" w:hAnsi="Arial"/>
          <w:b/>
          <w:bCs/>
          <w:i/>
          <w:iCs/>
          <w:sz w:val="24"/>
          <w:szCs w:val="24"/>
        </w:rPr>
        <w:t xml:space="preserve">1.1.6 Problema A1.6 — Duplicação de uma ação já prevista no wireframe correspondente</w:t>
      </w:r>
    </w:p>
    <w:p>
      <w:pPr>
        <w:spacing w:after="200" w:before="0" w:line="360"/>
        <w:ind w:firstLine="709"/>
        <w:jc w:val="both"/>
      </w:pPr>
      <w:r>
        <w:rPr>
          <w:rFonts w:ascii="Arial" w:cs="Arial" w:eastAsia="Arial" w:hAnsi="Arial"/>
          <w:b/>
          <w:bCs/>
          <w:i w:val="false"/>
          <w:iCs w:val="false"/>
          <w:sz w:val="24"/>
          <w:szCs w:val="24"/>
        </w:rPr>
        <w:t xml:space="preserve">Localização:</w:t>
      </w:r>
      <w:r>
        <w:rPr>
          <w:rFonts w:ascii="Arial" w:cs="Arial" w:eastAsia="Arial" w:hAnsi="Arial"/>
          <w:i w:val="false"/>
          <w:iCs w:val="false"/>
          <w:sz w:val="24"/>
          <w:szCs w:val="24"/>
        </w:rPr>
        <w:t xml:space="preserve"> nó “Confirmar horário”, no Nível 4, subordinado a “Escolher laboratório” (ramo Home → Reservas → Criar nova reserva → Escolher laboratório → Confirmar horário).</w:t>
      </w:r>
    </w:p>
    <w:p>
      <w:pPr>
        <w:spacing w:after="200" w:before="0" w:line="360"/>
        <w:ind w:firstLine="709"/>
        <w:jc w:val="both"/>
      </w:pPr>
      <w:r>
        <w:rPr>
          <w:rFonts w:ascii="Arial" w:cs="Arial" w:eastAsia="Arial" w:hAnsi="Arial"/>
          <w:b/>
          <w:bCs/>
          <w:i w:val="false"/>
          <w:iCs w:val="false"/>
          <w:sz w:val="24"/>
          <w:szCs w:val="24"/>
        </w:rPr>
        <w:t xml:space="preserve">Por que é um problema:</w:t>
      </w:r>
      <w:r>
        <w:rPr>
          <w:rFonts w:ascii="Arial" w:cs="Arial" w:eastAsia="Arial" w:hAnsi="Arial"/>
          <w:i w:val="false"/>
          <w:iCs w:val="false"/>
          <w:sz w:val="24"/>
          <w:szCs w:val="24"/>
        </w:rPr>
        <w:t xml:space="preserve"> o wireframe “Criar nova reserva”, analisado na Parte B, apresenta em sua própria tela a ação “Salvar” (âncora 5), responsável por persistir a reserva com os dados de data, horário, turma, quantidade de alunos e laboratório já preenchidos na mesma tela. O nó “Confirmar horário”, ao ser representado como uma quarta página hierárquica, duplica essa mesma ação de confirmação/gravação já coberta pelo botão “Salvar”, sem acrescentar funcionalidade distinta. Além de aprofundar desnecessariamente a hierarquia, essa duplicação cria duas representações concorrentes para a mesma ação de negócio — confirmar e salvar a reserva —, o que prejudica a consistência do Site Map.</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eliminar o nó “Confirmar horário”; a confirmação do horário passa a ser tratada pela ação “Salvar”, já prevista na tela “Criar nova reserva”.</w:t>
      </w:r>
    </w:p>
    <w:p>
      <w:pPr>
        <w:spacing w:after="200" w:before="360" w:line="360"/>
        <w:jc w:val="left"/>
      </w:pPr>
      <w:r>
        <w:rPr>
          <w:rFonts w:ascii="Arial" w:cs="Arial" w:eastAsia="Arial" w:hAnsi="Arial"/>
          <w:b/>
          <w:bCs/>
          <w:sz w:val="24"/>
          <w:szCs w:val="24"/>
        </w:rPr>
        <w:t xml:space="preserve">1.2 A2 — Site Map corrigido</w:t>
      </w:r>
    </w:p>
    <w:p>
      <w:pPr>
        <w:spacing w:after="200" w:before="0" w:line="360"/>
        <w:ind w:firstLine="709"/>
        <w:jc w:val="both"/>
      </w:pPr>
      <w:r>
        <w:rPr>
          <w:rFonts w:ascii="Arial" w:cs="Arial" w:eastAsia="Arial" w:hAnsi="Arial"/>
          <w:i w:val="false"/>
          <w:iCs w:val="false"/>
          <w:sz w:val="24"/>
          <w:szCs w:val="24"/>
        </w:rPr>
        <w:t xml:space="preserve">O Site Map corrigido a seguir aplica integralmente as seis correções descritas na seção 1.1: (i) “Fazer login” deixa de figurar como área de conteúdo de Nível 1 e passa a ser representado como ação de sistema, transversal e separada da hierarquia de áreas funcionais; (ii) “Cancelar reserva” passa a ser filha de “Minhas reservas”, eliminando a página órfã; (iii) “Escolher laboratório” é eliminado como página independente, incorporando-se ao conteúdo da tela “Criar nova reserva”; (iv) “Home” recebe explicitamente o perfil de acesso público; (v) o nó “Relatórios” é eliminado, e “Relatório de ocupação” passa a ser filho direto de “Administração”; (vi) “Confirmar horário” é eliminado, por duplicar a ação “Salvar” já prevista no wireframe da mesma funcionalidade. O resultado preserva as funcionalidades legítimas do Sistema de Reserva de Laboratórios descritas no artefato original, com hierarquia coerente, profundidade reduzida — no máximo três níveis abaixo de Home — e perfis de acesso explícitos em todos os nós. Trata-se de um Site Map, e não de um fluxo de processo: nenhum clique, sequência temporal, mensagem, estado de erro ou etapa de aprovação foi representado como página.</w:t>
      </w:r>
    </w:p>
    <w:p>
      <w:pPr>
        <w:spacing w:after="0" w:before="20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762250"/>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1 — Site Map corrigido do Sistema de Reserva de Laboratórios</w:t>
      </w:r>
    </w:p>
    <w:p>
      <w:pPr>
        <w:spacing w:after="280" w:before="80" w:line="240"/>
        <w:jc w:val="center"/>
      </w:pPr>
      <w:r>
        <w:rPr>
          <w:rFonts w:ascii="Arial" w:cs="Arial" w:eastAsia="Arial" w:hAnsi="Arial"/>
          <w:sz w:val="20"/>
          <w:szCs w:val="20"/>
        </w:rPr>
        <w:t xml:space="preserve">Fonte: elaboração própria (2026).</w:t>
      </w:r>
    </w:p>
    <w:p>
      <w:pPr>
        <w:spacing w:after="120" w:before="0" w:line="360"/>
        <w:ind w:firstLine="709"/>
        <w:jc w:val="both"/>
      </w:pPr>
      <w:r>
        <w:rPr>
          <w:rFonts w:ascii="Arial" w:cs="Arial" w:eastAsia="Arial" w:hAnsi="Arial"/>
          <w:i w:val="false"/>
          <w:iCs w:val="false"/>
          <w:sz w:val="24"/>
          <w:szCs w:val="24"/>
        </w:rPr>
        <w:t xml:space="preserve">A representação hierárquica textual a seguir corresponde exatamente à estrutura apresentada na Figura 1:</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rPr>
          <w:cantSplit/>
        </w:trPr>
        <w:tc>
          <w:tcPr>
            <w:shd w:fill="F5F5F5" w:val="clear"/>
            <w:tcMar>
              <w:top w:type="dxa" w:w="160"/>
              <w:left w:type="dxa" w:w="200"/>
              <w:bottom w:type="dxa" w:w="160"/>
              <w:right w:type="dxa" w:w="200"/>
            </w:tcMar>
          </w:tcPr>
          <w:p>
            <w:pPr>
              <w:spacing w:after="0" w:before="0" w:line="240"/>
              <w:jc w:val="left"/>
            </w:pPr>
            <w:r>
              <w:rPr>
                <w:rFonts w:ascii="Courier New" w:cs="Courier New" w:eastAsia="Courier New" w:hAnsi="Courier New"/>
                <w:sz w:val="20"/>
                <w:szCs w:val="20"/>
              </w:rPr>
              <w:t xml:space="preserve">Login [público] — ação de sistema (transversal, acessível a partir de Home;</w:t>
            </w:r>
          </w:p>
          <w:p>
            <w:pPr>
              <w:spacing w:after="0" w:before="0" w:line="240"/>
              <w:jc w:val="left"/>
            </w:pPr>
            <w:r>
              <w:rPr>
                <w:rFonts w:ascii="Courier New" w:cs="Courier New" w:eastAsia="Courier New" w:hAnsi="Courier New"/>
                <w:sz w:val="20"/>
                <w:szCs w:val="20"/>
              </w:rPr>
              <w:t xml:space="preserve">                   não integra a hierarquia de áreas de conteúdo)</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Home [público]</w:t>
            </w:r>
          </w:p>
          <w:p>
            <w:pPr>
              <w:spacing w:after="0" w:before="0" w:line="240"/>
              <w:jc w:val="left"/>
            </w:pPr>
            <w:r>
              <w:rPr>
                <w:rFonts w:ascii="Courier New" w:cs="Courier New" w:eastAsia="Courier New" w:hAnsi="Courier New"/>
                <w:sz w:val="20"/>
                <w:szCs w:val="20"/>
              </w:rPr>
              <w:t xml:space="preserve">├── Reservas [professor]</w:t>
            </w:r>
          </w:p>
          <w:p>
            <w:pPr>
              <w:spacing w:after="0" w:before="0" w:line="240"/>
              <w:jc w:val="left"/>
            </w:pPr>
            <w:r>
              <w:rPr>
                <w:rFonts w:ascii="Courier New" w:cs="Courier New" w:eastAsia="Courier New" w:hAnsi="Courier New"/>
                <w:sz w:val="20"/>
                <w:szCs w:val="20"/>
              </w:rPr>
              <w:t xml:space="preserve">│   ├── Minhas reservas [professor]</w:t>
            </w:r>
          </w:p>
          <w:p>
            <w:pPr>
              <w:spacing w:after="0" w:before="0" w:line="240"/>
              <w:jc w:val="left"/>
            </w:pPr>
            <w:r>
              <w:rPr>
                <w:rFonts w:ascii="Courier New" w:cs="Courier New" w:eastAsia="Courier New" w:hAnsi="Courier New"/>
                <w:sz w:val="20"/>
                <w:szCs w:val="20"/>
              </w:rPr>
              <w:t xml:space="preserve">│   │   └── Cancelar reserva [professor]</w:t>
            </w:r>
          </w:p>
          <w:p>
            <w:pPr>
              <w:spacing w:after="0" w:before="0" w:line="240"/>
              <w:jc w:val="left"/>
            </w:pPr>
            <w:r>
              <w:rPr>
                <w:rFonts w:ascii="Courier New" w:cs="Courier New" w:eastAsia="Courier New" w:hAnsi="Courier New"/>
                <w:sz w:val="20"/>
                <w:szCs w:val="20"/>
              </w:rPr>
              <w:t xml:space="preserve">│   └── Criar nova reserva [professor]</w:t>
            </w:r>
          </w:p>
          <w:p>
            <w:pPr>
              <w:spacing w:after="0" w:before="0" w:line="240"/>
              <w:jc w:val="left"/>
            </w:pPr>
            <w:r>
              <w:rPr>
                <w:rFonts w:ascii="Courier New" w:cs="Courier New" w:eastAsia="Courier New" w:hAnsi="Courier New"/>
                <w:sz w:val="20"/>
                <w:szCs w:val="20"/>
              </w:rPr>
              <w:t xml:space="preserve">└── Administração [coordenação]</w:t>
            </w:r>
          </w:p>
          <w:p>
            <w:pPr>
              <w:spacing w:after="0" w:before="0" w:line="240"/>
              <w:jc w:val="left"/>
            </w:pPr>
            <w:r>
              <w:rPr>
                <w:rFonts w:ascii="Courier New" w:cs="Courier New" w:eastAsia="Courier New" w:hAnsi="Courier New"/>
                <w:sz w:val="20"/>
                <w:szCs w:val="20"/>
              </w:rPr>
              <w:t xml:space="preserve">    └── Relatório de ocupação [coordenação]</w:t>
            </w:r>
          </w:p>
        </w:tc>
      </w:tr>
    </w:tbl>
    <w:p>
      <w:pPr>
        <w:spacing w:after="80" w:before="200" w:line="240"/>
        <w:jc w:val="center"/>
      </w:pPr>
      <w:r>
        <w:rPr>
          <w:rFonts w:ascii="Arial" w:cs="Arial" w:eastAsia="Arial" w:hAnsi="Arial"/>
          <w:b w:val="false"/>
          <w:bCs w:val="false"/>
          <w:sz w:val="20"/>
          <w:szCs w:val="20"/>
        </w:rPr>
        <w:t xml:space="preserve">Quadro 1 — Representação hierárquica textual do Site Map corrigido</w:t>
      </w:r>
    </w:p>
    <w:p>
      <w:pPr>
        <w:spacing w:after="280" w:before="80" w:line="240"/>
        <w:jc w:val="center"/>
      </w:pPr>
      <w:r>
        <w:rPr>
          <w:rFonts w:ascii="Arial" w:cs="Arial" w:eastAsia="Arial" w:hAnsi="Arial"/>
          <w:sz w:val="20"/>
          <w:szCs w:val="20"/>
        </w:rPr>
        <w:t xml:space="preserve">Fonte: elaboração própria (2026).</w:t>
      </w:r>
    </w:p>
    <w:p>
      <w:pPr>
        <w:pageBreakBefore/>
        <w:spacing w:after="240" w:before="480" w:line="360"/>
        <w:jc w:val="left"/>
      </w:pPr>
      <w:r>
        <w:rPr>
          <w:rFonts w:ascii="Arial" w:cs="Arial" w:eastAsia="Arial" w:hAnsi="Arial"/>
          <w:b/>
          <w:bCs/>
          <w:sz w:val="24"/>
          <w:szCs w:val="24"/>
        </w:rPr>
        <w:t xml:space="preserve">2 PARTE B — REVISÃO DO WIREFRAME</w:t>
      </w:r>
    </w:p>
    <w:p>
      <w:pPr>
        <w:spacing w:after="200" w:before="360" w:line="360"/>
        <w:jc w:val="left"/>
      </w:pPr>
      <w:r>
        <w:rPr>
          <w:rFonts w:ascii="Arial" w:cs="Arial" w:eastAsia="Arial" w:hAnsi="Arial"/>
          <w:b/>
          <w:bCs/>
          <w:sz w:val="24"/>
          <w:szCs w:val="24"/>
        </w:rPr>
        <w:t xml:space="preserve">2.1 B1 — Identificação dos problemas</w:t>
      </w:r>
    </w:p>
    <w:p>
      <w:pPr>
        <w:spacing w:after="200" w:before="0" w:line="360"/>
        <w:ind w:firstLine="709"/>
        <w:jc w:val="both"/>
      </w:pPr>
      <w:r>
        <w:rPr>
          <w:rFonts w:ascii="Arial" w:cs="Arial" w:eastAsia="Arial" w:hAnsi="Arial"/>
          <w:i w:val="false"/>
          <w:iCs w:val="false"/>
          <w:sz w:val="24"/>
          <w:szCs w:val="24"/>
        </w:rPr>
        <w:t xml:space="preserve">Esta seção analisa o wireframe “Criar nova reserva”, entregue pela mesma equipe fictícia, considerando hierarquia visual, ações, estados e conteúdo do formulário. As âncoras numeradas (1 a 5) citadas correspondem exatamente às indicadas na figura original.</w:t>
      </w:r>
    </w:p>
    <w:p>
      <w:pPr>
        <w:spacing w:after="160" w:before="280" w:line="360"/>
        <w:jc w:val="left"/>
      </w:pPr>
      <w:r>
        <w:rPr>
          <w:rFonts w:ascii="Arial" w:cs="Arial" w:eastAsia="Arial" w:hAnsi="Arial"/>
          <w:b/>
          <w:bCs/>
          <w:i/>
          <w:iCs/>
          <w:sz w:val="24"/>
          <w:szCs w:val="24"/>
        </w:rPr>
        <w:t xml:space="preserve">2.1.1 Problema B1.1 — Ausência de hierarquia visual entre as ações do rodapé</w:t>
      </w:r>
    </w:p>
    <w:p>
      <w:pPr>
        <w:spacing w:after="200" w:before="0" w:line="360"/>
        <w:ind w:firstLine="709"/>
        <w:jc w:val="both"/>
      </w:pPr>
      <w:r>
        <w:rPr>
          <w:rFonts w:ascii="Arial" w:cs="Arial" w:eastAsia="Arial" w:hAnsi="Arial"/>
          <w:b/>
          <w:bCs/>
          <w:i w:val="false"/>
          <w:iCs w:val="false"/>
          <w:sz w:val="24"/>
          <w:szCs w:val="24"/>
        </w:rPr>
        <w:t xml:space="preserve">Âncora/região:</w:t>
      </w:r>
      <w:r>
        <w:rPr>
          <w:rFonts w:ascii="Arial" w:cs="Arial" w:eastAsia="Arial" w:hAnsi="Arial"/>
          <w:i w:val="false"/>
          <w:iCs w:val="false"/>
          <w:sz w:val="24"/>
          <w:szCs w:val="24"/>
        </w:rPr>
        <w:t xml:space="preserve"> marcador 5 — grupo de ações “Salvar”, “Cancelar”, “Limpar tudo”, “Voltar” e “Exportar em PDF”.</w:t>
      </w:r>
    </w:p>
    <w:p>
      <w:pPr>
        <w:spacing w:after="200" w:before="0" w:line="360"/>
        <w:ind w:firstLine="709"/>
        <w:jc w:val="both"/>
      </w:pPr>
      <w:r>
        <w:rPr>
          <w:rFonts w:ascii="Arial" w:cs="Arial" w:eastAsia="Arial" w:hAnsi="Arial"/>
          <w:b/>
          <w:bCs/>
          <w:i w:val="false"/>
          <w:iCs w:val="false"/>
          <w:sz w:val="24"/>
          <w:szCs w:val="24"/>
        </w:rPr>
        <w:t xml:space="preserve">Elemento afetado:</w:t>
      </w:r>
      <w:r>
        <w:rPr>
          <w:rFonts w:ascii="Arial" w:cs="Arial" w:eastAsia="Arial" w:hAnsi="Arial"/>
          <w:i w:val="false"/>
          <w:iCs w:val="false"/>
          <w:sz w:val="24"/>
          <w:szCs w:val="24"/>
        </w:rPr>
        <w:t xml:space="preserve"> os cinco botões de ação da parte inferior do formulário.</w:t>
      </w:r>
    </w:p>
    <w:p>
      <w:pPr>
        <w:spacing w:after="200" w:before="0" w:line="360"/>
        <w:ind w:firstLine="709"/>
        <w:jc w:val="both"/>
      </w:pPr>
      <w:r>
        <w:rPr>
          <w:rFonts w:ascii="Arial" w:cs="Arial" w:eastAsia="Arial" w:hAnsi="Arial"/>
          <w:b/>
          <w:bCs/>
          <w:i w:val="false"/>
          <w:iCs w:val="false"/>
          <w:sz w:val="24"/>
          <w:szCs w:val="24"/>
        </w:rPr>
        <w:t xml:space="preserve">Problema identificado:</w:t>
      </w:r>
      <w:r>
        <w:rPr>
          <w:rFonts w:ascii="Arial" w:cs="Arial" w:eastAsia="Arial" w:hAnsi="Arial"/>
          <w:i w:val="false"/>
          <w:iCs w:val="false"/>
          <w:sz w:val="24"/>
          <w:szCs w:val="24"/>
        </w:rPr>
        <w:t xml:space="preserve"> os cinco botões são apresentados com o mesmo estilo visual — mesma cor de preenchimento, mesmo contorno, mesmo tamanho —, sem diferenciação entre a ação primária do formulário (“Salvar”) e as ações secundárias ou potencialmente destrutivas (“Cancelar”, “Limpar tudo”, “Voltar”).</w:t>
      </w:r>
    </w:p>
    <w:p>
      <w:pPr>
        <w:spacing w:after="200" w:before="0" w:line="360"/>
        <w:ind w:firstLine="709"/>
        <w:jc w:val="both"/>
      </w:pPr>
      <w:r>
        <w:rPr>
          <w:rFonts w:ascii="Arial" w:cs="Arial" w:eastAsia="Arial" w:hAnsi="Arial"/>
          <w:b/>
          <w:bCs/>
          <w:i w:val="false"/>
          <w:iCs w:val="false"/>
          <w:sz w:val="24"/>
          <w:szCs w:val="24"/>
        </w:rPr>
        <w:t xml:space="preserve">Justificativa técnica:</w:t>
      </w:r>
      <w:r>
        <w:rPr>
          <w:rFonts w:ascii="Arial" w:cs="Arial" w:eastAsia="Arial" w:hAnsi="Arial"/>
          <w:i w:val="false"/>
          <w:iCs w:val="false"/>
          <w:sz w:val="24"/>
          <w:szCs w:val="24"/>
        </w:rPr>
        <w:t xml:space="preserve"> Krug (2014) argumenta que uma interface eficaz deve tornar óbvia, sem exigir reflexão deliberada do usuário, qual é a ação esperada em cada tela; a ausência de hierarquia visual entre “Salvar” e as demais ações obriga o usuário a interpretar, campo a campo, qual botão conclui a tarefa principal. O problema é agravado pela proximidade entre “Salvar” e “Limpar tudo” — capaz de descartar todo o preenchimento do formulário —, apresentados com o mesmo peso visual, o que caracteriza uma falha do princípio heurístico de prevenção de erros descrito por Nielsen (1994): ações potencialmente destrutivas devem ser visualmente destacadas das ações de confirmação, e não equiparadas a elas.</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destacar “Salvar” como ação primária, com preenchimento sólido em cor de destaque; tratar “Cancelar” e “Voltar” como ações secundárias, em estilo contornado ou textual; e isolar “Limpar tudo” com estilo de alerta, afastando-a do agrupamento principal de confirmação.</w:t>
      </w:r>
    </w:p>
    <w:p>
      <w:pPr>
        <w:spacing w:after="160" w:before="280" w:line="360"/>
        <w:jc w:val="left"/>
      </w:pPr>
      <w:r>
        <w:rPr>
          <w:rFonts w:ascii="Arial" w:cs="Arial" w:eastAsia="Arial" w:hAnsi="Arial"/>
          <w:b/>
          <w:bCs/>
          <w:i/>
          <w:iCs/>
          <w:sz w:val="24"/>
          <w:szCs w:val="24"/>
        </w:rPr>
        <w:t xml:space="preserve">2.1.2 Problema B1.2 — Campos sem indicação de formato ou obrigatoriedade</w:t>
      </w:r>
    </w:p>
    <w:p>
      <w:pPr>
        <w:spacing w:after="200" w:before="0" w:line="360"/>
        <w:ind w:firstLine="709"/>
        <w:jc w:val="both"/>
      </w:pPr>
      <w:r>
        <w:rPr>
          <w:rFonts w:ascii="Arial" w:cs="Arial" w:eastAsia="Arial" w:hAnsi="Arial"/>
          <w:b/>
          <w:bCs/>
          <w:i w:val="false"/>
          <w:iCs w:val="false"/>
          <w:sz w:val="24"/>
          <w:szCs w:val="24"/>
        </w:rPr>
        <w:t xml:space="preserve">Âncora/região:</w:t>
      </w:r>
      <w:r>
        <w:rPr>
          <w:rFonts w:ascii="Arial" w:cs="Arial" w:eastAsia="Arial" w:hAnsi="Arial"/>
          <w:i w:val="false"/>
          <w:iCs w:val="false"/>
          <w:sz w:val="24"/>
          <w:szCs w:val="24"/>
        </w:rPr>
        <w:t xml:space="preserve"> marcador 2 — campos “Data”, “Hora inicial”, “Hora final”, “Turma” e “Qtd. alunos”.</w:t>
      </w:r>
    </w:p>
    <w:p>
      <w:pPr>
        <w:spacing w:after="200" w:before="0" w:line="360"/>
        <w:ind w:firstLine="709"/>
        <w:jc w:val="both"/>
      </w:pPr>
      <w:r>
        <w:rPr>
          <w:rFonts w:ascii="Arial" w:cs="Arial" w:eastAsia="Arial" w:hAnsi="Arial"/>
          <w:b/>
          <w:bCs/>
          <w:i w:val="false"/>
          <w:iCs w:val="false"/>
          <w:sz w:val="24"/>
          <w:szCs w:val="24"/>
        </w:rPr>
        <w:t xml:space="preserve">Elemento afetado:</w:t>
      </w:r>
      <w:r>
        <w:rPr>
          <w:rFonts w:ascii="Arial" w:cs="Arial" w:eastAsia="Arial" w:hAnsi="Arial"/>
          <w:i w:val="false"/>
          <w:iCs w:val="false"/>
          <w:sz w:val="24"/>
          <w:szCs w:val="24"/>
        </w:rPr>
        <w:t xml:space="preserve"> os cinco campos de entrada da primeira linha do formulário.</w:t>
      </w:r>
    </w:p>
    <w:p>
      <w:pPr>
        <w:spacing w:after="200" w:before="0" w:line="360"/>
        <w:ind w:firstLine="709"/>
        <w:jc w:val="both"/>
      </w:pPr>
      <w:r>
        <w:rPr>
          <w:rFonts w:ascii="Arial" w:cs="Arial" w:eastAsia="Arial" w:hAnsi="Arial"/>
          <w:b/>
          <w:bCs/>
          <w:i w:val="false"/>
          <w:iCs w:val="false"/>
          <w:sz w:val="24"/>
          <w:szCs w:val="24"/>
        </w:rPr>
        <w:t xml:space="preserve">Problema identificado:</w:t>
      </w:r>
      <w:r>
        <w:rPr>
          <w:rFonts w:ascii="Arial" w:cs="Arial" w:eastAsia="Arial" w:hAnsi="Arial"/>
          <w:i w:val="false"/>
          <w:iCs w:val="false"/>
          <w:sz w:val="24"/>
          <w:szCs w:val="24"/>
        </w:rPr>
        <w:t xml:space="preserve"> nenhum dos cinco campos apresenta indicação de formato esperado (por exemplo, o padrão de data ou de hora), de tipo de controle adequado (texto livre, seletor, campo numérico) ou de obrigatoriedade de preenchimento.</w:t>
      </w:r>
    </w:p>
    <w:p>
      <w:pPr>
        <w:spacing w:after="200" w:before="0" w:line="360"/>
        <w:ind w:firstLine="709"/>
        <w:jc w:val="both"/>
      </w:pPr>
      <w:r>
        <w:rPr>
          <w:rFonts w:ascii="Arial" w:cs="Arial" w:eastAsia="Arial" w:hAnsi="Arial"/>
          <w:b/>
          <w:bCs/>
          <w:i w:val="false"/>
          <w:iCs w:val="false"/>
          <w:sz w:val="24"/>
          <w:szCs w:val="24"/>
        </w:rPr>
        <w:t xml:space="preserve">Justificativa técnica:</w:t>
      </w:r>
      <w:r>
        <w:rPr>
          <w:rFonts w:ascii="Arial" w:cs="Arial" w:eastAsia="Arial" w:hAnsi="Arial"/>
          <w:i w:val="false"/>
          <w:iCs w:val="false"/>
          <w:sz w:val="24"/>
          <w:szCs w:val="24"/>
        </w:rPr>
        <w:t xml:space="preserve"> o controle de formulário deve comunicar ao usuário, antes do envio, o formato e as restrições esperadas para cada campo; sem essa informação, aumenta a probabilidade de o usuário preencher “Data” e “Hora inicial”/“Hora final” em formatos inconsistentes entre si, ou de deixar campos obrigatórios em branco — o que só seria percebido, se percebido, após a tentativa de salvar. Trata-se de uma falha de prevenção de erro na entrada de dados (NIELSEN, 1994).</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adicionar indicação de formato em cada campo (por exemplo, “dd/mm/aaaa” em Data e “hh:mm” em Hora inicial/Hora final), sinalizar campos obrigatórios com marcador visual e transformar “Turma” em campo de seleção (lista suspensa) em vez de texto livre, reduzindo a possibilidade de erro de digitação.</w:t>
      </w:r>
    </w:p>
    <w:p>
      <w:pPr>
        <w:spacing w:after="160" w:before="280" w:line="360"/>
        <w:jc w:val="left"/>
      </w:pPr>
      <w:r>
        <w:rPr>
          <w:rFonts w:ascii="Arial" w:cs="Arial" w:eastAsia="Arial" w:hAnsi="Arial"/>
          <w:b/>
          <w:bCs/>
          <w:i/>
          <w:iCs/>
          <w:sz w:val="24"/>
          <w:szCs w:val="24"/>
        </w:rPr>
        <w:t xml:space="preserve">2.1.3 Problema B1.3 — Controle de seleção ambíguo quanto à quantidade de laboratórios</w:t>
      </w:r>
    </w:p>
    <w:p>
      <w:pPr>
        <w:spacing w:after="200" w:before="0" w:line="360"/>
        <w:ind w:firstLine="709"/>
        <w:jc w:val="both"/>
      </w:pPr>
      <w:r>
        <w:rPr>
          <w:rFonts w:ascii="Arial" w:cs="Arial" w:eastAsia="Arial" w:hAnsi="Arial"/>
          <w:b/>
          <w:bCs/>
          <w:i w:val="false"/>
          <w:iCs w:val="false"/>
          <w:sz w:val="24"/>
          <w:szCs w:val="24"/>
        </w:rPr>
        <w:t xml:space="preserve">Âncora/região:</w:t>
      </w:r>
      <w:r>
        <w:rPr>
          <w:rFonts w:ascii="Arial" w:cs="Arial" w:eastAsia="Arial" w:hAnsi="Arial"/>
          <w:i w:val="false"/>
          <w:iCs w:val="false"/>
          <w:sz w:val="24"/>
          <w:szCs w:val="24"/>
        </w:rPr>
        <w:t xml:space="preserve"> marcador 4 — tabela “Laboratórios”, coluna “Selecionar”.</w:t>
      </w:r>
    </w:p>
    <w:p>
      <w:pPr>
        <w:spacing w:after="200" w:before="0" w:line="360"/>
        <w:ind w:firstLine="709"/>
        <w:jc w:val="both"/>
      </w:pPr>
      <w:r>
        <w:rPr>
          <w:rFonts w:ascii="Arial" w:cs="Arial" w:eastAsia="Arial" w:hAnsi="Arial"/>
          <w:b/>
          <w:bCs/>
          <w:i w:val="false"/>
          <w:iCs w:val="false"/>
          <w:sz w:val="24"/>
          <w:szCs w:val="24"/>
        </w:rPr>
        <w:t xml:space="preserve">Elemento afetado:</w:t>
      </w:r>
      <w:r>
        <w:rPr>
          <w:rFonts w:ascii="Arial" w:cs="Arial" w:eastAsia="Arial" w:hAnsi="Arial"/>
          <w:i w:val="false"/>
          <w:iCs w:val="false"/>
          <w:sz w:val="24"/>
          <w:szCs w:val="24"/>
        </w:rPr>
        <w:t xml:space="preserve"> as caixas de seleção (checkbox) associadas a cada linha da tabela de laboratórios (LAB-01, LAB-02, LAB-03).</w:t>
      </w:r>
    </w:p>
    <w:p>
      <w:pPr>
        <w:spacing w:after="200" w:before="0" w:line="360"/>
        <w:ind w:firstLine="709"/>
        <w:jc w:val="both"/>
      </w:pPr>
      <w:r>
        <w:rPr>
          <w:rFonts w:ascii="Arial" w:cs="Arial" w:eastAsia="Arial" w:hAnsi="Arial"/>
          <w:b/>
          <w:bCs/>
          <w:i w:val="false"/>
          <w:iCs w:val="false"/>
          <w:sz w:val="24"/>
          <w:szCs w:val="24"/>
        </w:rPr>
        <w:t xml:space="preserve">Problema identificado:</w:t>
      </w:r>
      <w:r>
        <w:rPr>
          <w:rFonts w:ascii="Arial" w:cs="Arial" w:eastAsia="Arial" w:hAnsi="Arial"/>
          <w:i w:val="false"/>
          <w:iCs w:val="false"/>
          <w:sz w:val="24"/>
          <w:szCs w:val="24"/>
        </w:rPr>
        <w:t xml:space="preserve"> a coluna “Selecionar” utiliza caixas de seleção múltipla (checkbox) para escolher o laboratório da reserva, embora o formulário possua apenas um conjunto de campos de data e horário — o que sugere que cada reserva se refere a um único laboratório, em um único intervalo de tempo.</w:t>
      </w:r>
    </w:p>
    <w:p>
      <w:pPr>
        <w:spacing w:after="200" w:before="0" w:line="360"/>
        <w:ind w:firstLine="709"/>
        <w:jc w:val="both"/>
      </w:pPr>
      <w:r>
        <w:rPr>
          <w:rFonts w:ascii="Arial" w:cs="Arial" w:eastAsia="Arial" w:hAnsi="Arial"/>
          <w:b/>
          <w:bCs/>
          <w:i w:val="false"/>
          <w:iCs w:val="false"/>
          <w:sz w:val="24"/>
          <w:szCs w:val="24"/>
        </w:rPr>
        <w:t xml:space="preserve">Justificativa técnica:</w:t>
      </w:r>
      <w:r>
        <w:rPr>
          <w:rFonts w:ascii="Arial" w:cs="Arial" w:eastAsia="Arial" w:hAnsi="Arial"/>
          <w:i w:val="false"/>
          <w:iCs w:val="false"/>
          <w:sz w:val="24"/>
          <w:szCs w:val="24"/>
        </w:rPr>
        <w:t xml:space="preserve"> o tipo de controle de seleção comunica ao usuário a cardinalidade esperada da escolha: caixas de seleção indicam, por convenção de interface, que mais de uma opção pode ser marcada simultaneamente. Se o objetivo é reservar um único laboratório por vez — o que é sugerido pela existência de apenas um par de campos “Hora inicial”/“Hora final” no mesmo formulário —, o uso de checkbox cria ambiguidade sobre o que ocorreria caso mais de um laboratório fosse marcado, violando a correspondência entre o comportamento do sistema e a expectativa do usuário (NIELSEN, 1994). Registra-se a ambiguidade: caso a intenção real seja permitir múltiplos laboratórios em uma mesma reserva, essa regra não está comunicada no wireframe fornecido.</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substituir as caixas de seleção por botões de rádio (seleção única) na coluna “Selecionar”, garantindo que apenas um laboratório seja escolhido por reserva; caso a multisseleção seja de fato desejada, essa regra deve ser explicitada por meio de texto de apoio junto à tabela.</w:t>
      </w:r>
    </w:p>
    <w:p>
      <w:pPr>
        <w:spacing w:after="160" w:before="280" w:line="360"/>
        <w:jc w:val="left"/>
      </w:pPr>
      <w:r>
        <w:rPr>
          <w:rFonts w:ascii="Arial" w:cs="Arial" w:eastAsia="Arial" w:hAnsi="Arial"/>
          <w:b/>
          <w:bCs/>
          <w:i/>
          <w:iCs/>
          <w:sz w:val="24"/>
          <w:szCs w:val="24"/>
        </w:rPr>
        <w:t xml:space="preserve">2.1.4 Problema B1.4 — Ausência de agrupamento entre campos de naturezas distintas</w:t>
      </w:r>
    </w:p>
    <w:p>
      <w:pPr>
        <w:spacing w:after="200" w:before="0" w:line="360"/>
        <w:ind w:firstLine="709"/>
        <w:jc w:val="both"/>
      </w:pPr>
      <w:r>
        <w:rPr>
          <w:rFonts w:ascii="Arial" w:cs="Arial" w:eastAsia="Arial" w:hAnsi="Arial"/>
          <w:b/>
          <w:bCs/>
          <w:i w:val="false"/>
          <w:iCs w:val="false"/>
          <w:sz w:val="24"/>
          <w:szCs w:val="24"/>
        </w:rPr>
        <w:t xml:space="preserve">Âncora/região:</w:t>
      </w:r>
      <w:r>
        <w:rPr>
          <w:rFonts w:ascii="Arial" w:cs="Arial" w:eastAsia="Arial" w:hAnsi="Arial"/>
          <w:i w:val="false"/>
          <w:iCs w:val="false"/>
          <w:sz w:val="24"/>
          <w:szCs w:val="24"/>
        </w:rPr>
        <w:t xml:space="preserve"> marcador 2 — campos “Data”, “Hora inicial”, “Hora final”, “Turma” e “Qtd. alunos”.</w:t>
      </w:r>
    </w:p>
    <w:p>
      <w:pPr>
        <w:spacing w:after="200" w:before="0" w:line="360"/>
        <w:ind w:firstLine="709"/>
        <w:jc w:val="both"/>
      </w:pPr>
      <w:r>
        <w:rPr>
          <w:rFonts w:ascii="Arial" w:cs="Arial" w:eastAsia="Arial" w:hAnsi="Arial"/>
          <w:b/>
          <w:bCs/>
          <w:i w:val="false"/>
          <w:iCs w:val="false"/>
          <w:sz w:val="24"/>
          <w:szCs w:val="24"/>
        </w:rPr>
        <w:t xml:space="preserve">Elemento afetado:</w:t>
      </w:r>
      <w:r>
        <w:rPr>
          <w:rFonts w:ascii="Arial" w:cs="Arial" w:eastAsia="Arial" w:hAnsi="Arial"/>
          <w:i w:val="false"/>
          <w:iCs w:val="false"/>
          <w:sz w:val="24"/>
          <w:szCs w:val="24"/>
        </w:rPr>
        <w:t xml:space="preserve"> disposição da primeira linha de campos do formulário.</w:t>
      </w:r>
    </w:p>
    <w:p>
      <w:pPr>
        <w:spacing w:after="200" w:before="0" w:line="360"/>
        <w:ind w:firstLine="709"/>
        <w:jc w:val="both"/>
      </w:pPr>
      <w:r>
        <w:rPr>
          <w:rFonts w:ascii="Arial" w:cs="Arial" w:eastAsia="Arial" w:hAnsi="Arial"/>
          <w:b/>
          <w:bCs/>
          <w:i w:val="false"/>
          <w:iCs w:val="false"/>
          <w:sz w:val="24"/>
          <w:szCs w:val="24"/>
        </w:rPr>
        <w:t xml:space="preserve">Problema identificado:</w:t>
      </w:r>
      <w:r>
        <w:rPr>
          <w:rFonts w:ascii="Arial" w:cs="Arial" w:eastAsia="Arial" w:hAnsi="Arial"/>
          <w:i w:val="false"/>
          <w:iCs w:val="false"/>
          <w:sz w:val="24"/>
          <w:szCs w:val="24"/>
        </w:rPr>
        <w:t xml:space="preserve"> os cinco campos são apresentados lado a lado, com o mesmo espaçamento e sem separação visual, embora pertençam a naturezas distintas: “Data”, “Hora inicial” e “Hora final” descrevem quando a reserva ocorre, enquanto “Turma” e “Qtd. alunos” descrevem quem a utilizará.</w:t>
      </w:r>
    </w:p>
    <w:p>
      <w:pPr>
        <w:spacing w:after="200" w:before="0" w:line="360"/>
        <w:ind w:firstLine="709"/>
        <w:jc w:val="both"/>
      </w:pPr>
      <w:r>
        <w:rPr>
          <w:rFonts w:ascii="Arial" w:cs="Arial" w:eastAsia="Arial" w:hAnsi="Arial"/>
          <w:b/>
          <w:bCs/>
          <w:i w:val="false"/>
          <w:iCs w:val="false"/>
          <w:sz w:val="24"/>
          <w:szCs w:val="24"/>
        </w:rPr>
        <w:t xml:space="preserve">Justificativa técnica:</w:t>
      </w:r>
      <w:r>
        <w:rPr>
          <w:rFonts w:ascii="Arial" w:cs="Arial" w:eastAsia="Arial" w:hAnsi="Arial"/>
          <w:i w:val="false"/>
          <w:iCs w:val="false"/>
          <w:sz w:val="24"/>
          <w:szCs w:val="24"/>
        </w:rPr>
        <w:t xml:space="preserve"> o agrupamento por proximidade e relação semântica entre campos permite que o usuário reconheça rapidamente a estrutura lógica de um formulário extenso, reduzindo o tempo de leitura e o esforço de interpretação; a ausência desse agrupamento obriga o usuário a ler individualmente cada rótulo para reconstruir mentalmente essas duas categorias, aumentando a densidade percebida do formulário (GARRETT, 2011).</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reorganizar os campos em subgrupos visuais — “Data e horário” (Data, Hora inicial, Hora final) e “Turma e participantes” (Turma, Qtd. alunos) —, com espaçamento ou subtítulos que evidenciem essa relação.</w:t>
      </w:r>
    </w:p>
    <w:p>
      <w:pPr>
        <w:spacing w:after="160" w:before="280" w:line="360"/>
        <w:jc w:val="left"/>
      </w:pPr>
      <w:r>
        <w:rPr>
          <w:rFonts w:ascii="Arial" w:cs="Arial" w:eastAsia="Arial" w:hAnsi="Arial"/>
          <w:b/>
          <w:bCs/>
          <w:i/>
          <w:iCs/>
          <w:sz w:val="24"/>
          <w:szCs w:val="24"/>
        </w:rPr>
        <w:t xml:space="preserve">2.1.5 Problema B1.5 — Ação de exportação presente antes da existência de um registro salvo</w:t>
      </w:r>
    </w:p>
    <w:p>
      <w:pPr>
        <w:spacing w:after="200" w:before="0" w:line="360"/>
        <w:ind w:firstLine="709"/>
        <w:jc w:val="both"/>
      </w:pPr>
      <w:r>
        <w:rPr>
          <w:rFonts w:ascii="Arial" w:cs="Arial" w:eastAsia="Arial" w:hAnsi="Arial"/>
          <w:b/>
          <w:bCs/>
          <w:i w:val="false"/>
          <w:iCs w:val="false"/>
          <w:sz w:val="24"/>
          <w:szCs w:val="24"/>
        </w:rPr>
        <w:t xml:space="preserve">Âncora/região:</w:t>
      </w:r>
      <w:r>
        <w:rPr>
          <w:rFonts w:ascii="Arial" w:cs="Arial" w:eastAsia="Arial" w:hAnsi="Arial"/>
          <w:i w:val="false"/>
          <w:iCs w:val="false"/>
          <w:sz w:val="24"/>
          <w:szCs w:val="24"/>
        </w:rPr>
        <w:t xml:space="preserve"> marcador 5 — botão “Exportar em PDF”.</w:t>
      </w:r>
    </w:p>
    <w:p>
      <w:pPr>
        <w:spacing w:after="200" w:before="0" w:line="360"/>
        <w:ind w:firstLine="709"/>
        <w:jc w:val="both"/>
      </w:pPr>
      <w:r>
        <w:rPr>
          <w:rFonts w:ascii="Arial" w:cs="Arial" w:eastAsia="Arial" w:hAnsi="Arial"/>
          <w:b/>
          <w:bCs/>
          <w:i w:val="false"/>
          <w:iCs w:val="false"/>
          <w:sz w:val="24"/>
          <w:szCs w:val="24"/>
        </w:rPr>
        <w:t xml:space="preserve">Elemento afetado:</w:t>
      </w:r>
      <w:r>
        <w:rPr>
          <w:rFonts w:ascii="Arial" w:cs="Arial" w:eastAsia="Arial" w:hAnsi="Arial"/>
          <w:i w:val="false"/>
          <w:iCs w:val="false"/>
          <w:sz w:val="24"/>
          <w:szCs w:val="24"/>
        </w:rPr>
        <w:t xml:space="preserve"> ação “Exportar em PDF”, no grupo de botões inferiores.</w:t>
      </w:r>
    </w:p>
    <w:p>
      <w:pPr>
        <w:spacing w:after="200" w:before="0" w:line="360"/>
        <w:ind w:firstLine="709"/>
        <w:jc w:val="both"/>
      </w:pPr>
      <w:r>
        <w:rPr>
          <w:rFonts w:ascii="Arial" w:cs="Arial" w:eastAsia="Arial" w:hAnsi="Arial"/>
          <w:b/>
          <w:bCs/>
          <w:i w:val="false"/>
          <w:iCs w:val="false"/>
          <w:sz w:val="24"/>
          <w:szCs w:val="24"/>
        </w:rPr>
        <w:t xml:space="preserve">Problema identificado:</w:t>
      </w:r>
      <w:r>
        <w:rPr>
          <w:rFonts w:ascii="Arial" w:cs="Arial" w:eastAsia="Arial" w:hAnsi="Arial"/>
          <w:i w:val="false"/>
          <w:iCs w:val="false"/>
          <w:sz w:val="24"/>
          <w:szCs w:val="24"/>
        </w:rPr>
        <w:t xml:space="preserve"> o botão “Exportar em PDF” está disponível na própria tela de criação de uma reserva ainda não salva, sem que fique claro o que exatamente seria exportado nesse momento.</w:t>
      </w:r>
    </w:p>
    <w:p>
      <w:pPr>
        <w:spacing w:after="200" w:before="0" w:line="360"/>
        <w:ind w:firstLine="709"/>
        <w:jc w:val="both"/>
      </w:pPr>
      <w:r>
        <w:rPr>
          <w:rFonts w:ascii="Arial" w:cs="Arial" w:eastAsia="Arial" w:hAnsi="Arial"/>
          <w:b/>
          <w:bCs/>
          <w:i w:val="false"/>
          <w:iCs w:val="false"/>
          <w:sz w:val="24"/>
          <w:szCs w:val="24"/>
        </w:rPr>
        <w:t xml:space="preserve">Justificativa técnica:</w:t>
      </w:r>
      <w:r>
        <w:rPr>
          <w:rFonts w:ascii="Arial" w:cs="Arial" w:eastAsia="Arial" w:hAnsi="Arial"/>
          <w:i w:val="false"/>
          <w:iCs w:val="false"/>
          <w:sz w:val="24"/>
          <w:szCs w:val="24"/>
        </w:rPr>
        <w:t xml:space="preserve"> a clareza de uma ação depende de o usuário conseguir prever seu resultado antes de acioná-la. Como a reserva ainda não foi persistida durante o preenchimento do formulário, não existe, até esse ponto, um registro confirmado que justifique uma exportação em PDF — ação tipicamente associada a um comprovante de algo já concluído. A presença dessa ação na tela de criação sugere posicionamento inconsistente com o restante do fluxo, misturando uma ação típica de tela de consulta/detalhe com uma tela de cadastro.</w:t>
      </w:r>
    </w:p>
    <w:p>
      <w:pPr>
        <w:spacing w:after="200" w:before="0" w:line="360"/>
        <w:ind w:firstLine="709"/>
        <w:jc w:val="both"/>
      </w:pPr>
      <w:r>
        <w:rPr>
          <w:rFonts w:ascii="Arial" w:cs="Arial" w:eastAsia="Arial" w:hAnsi="Arial"/>
          <w:b/>
          <w:bCs/>
          <w:i w:val="false"/>
          <w:iCs w:val="false"/>
          <w:sz w:val="24"/>
          <w:szCs w:val="24"/>
        </w:rPr>
        <w:t xml:space="preserve">Correção proposta:</w:t>
      </w:r>
      <w:r>
        <w:rPr>
          <w:rFonts w:ascii="Arial" w:cs="Arial" w:eastAsia="Arial" w:hAnsi="Arial"/>
          <w:i w:val="false"/>
          <w:iCs w:val="false"/>
          <w:sz w:val="24"/>
          <w:szCs w:val="24"/>
        </w:rPr>
        <w:t xml:space="preserve"> remover “Exportar em PDF” da tela “Criar nova reserva” e reposicioná-la na tela em que a reserva já exista como registro confirmado — por exemplo, em “Minhas reservas”, após o salvamento —, onde exportar um comprovante da reserva é uma ação com resultado previsível.</w:t>
      </w:r>
    </w:p>
    <w:p>
      <w:pPr>
        <w:spacing w:after="200" w:before="360" w:line="360"/>
        <w:jc w:val="left"/>
      </w:pPr>
      <w:r>
        <w:rPr>
          <w:rFonts w:ascii="Arial" w:cs="Arial" w:eastAsia="Arial" w:hAnsi="Arial"/>
          <w:b/>
          <w:bCs/>
          <w:sz w:val="24"/>
          <w:szCs w:val="24"/>
        </w:rPr>
        <w:t xml:space="preserve">2.2 B2 — Estados adicionais e cenários de exceção</w:t>
      </w:r>
    </w:p>
    <w:p>
      <w:pPr>
        <w:spacing w:after="200" w:before="0" w:line="360"/>
        <w:ind w:firstLine="709"/>
        <w:jc w:val="both"/>
      </w:pPr>
      <w:r>
        <w:rPr>
          <w:rFonts w:ascii="Arial" w:cs="Arial" w:eastAsia="Arial" w:hAnsi="Arial"/>
          <w:i w:val="false"/>
          <w:iCs w:val="false"/>
          <w:sz w:val="24"/>
          <w:szCs w:val="24"/>
        </w:rPr>
        <w:t xml:space="preserve">O wireframe fornecido apresenta apenas o estado inicial, em branco, da tela “Criar nova reserva”, conforme indicado em sua própria legenda: “Não há nenhuma outra tela ou estado especificado para esta funcionalidade”. A seguir, propõem-se três estados adicionais necessários à funcionalidade de criação de uma reserva de laboratório, cada um acompanhado do cenário de exceção correspondente, descrito no formato Gherkin conforme solicitado no enunciado.</w:t>
      </w:r>
    </w:p>
    <w:p>
      <w:pPr>
        <w:spacing w:after="160" w:before="280" w:line="360"/>
        <w:jc w:val="left"/>
      </w:pPr>
      <w:r>
        <w:rPr>
          <w:rFonts w:ascii="Arial" w:cs="Arial" w:eastAsia="Arial" w:hAnsi="Arial"/>
          <w:b/>
          <w:bCs/>
          <w:i/>
          <w:iCs/>
          <w:sz w:val="24"/>
          <w:szCs w:val="24"/>
        </w:rPr>
        <w:t xml:space="preserve">2.2.1 Estado 1 — Conflito de horário / indisponibilidade do laboratório</w:t>
      </w:r>
    </w:p>
    <w:p>
      <w:pPr>
        <w:spacing w:after="200" w:before="0" w:line="360"/>
        <w:ind w:firstLine="709"/>
        <w:jc w:val="both"/>
      </w:pPr>
      <w:r>
        <w:rPr>
          <w:rFonts w:ascii="Arial" w:cs="Arial" w:eastAsia="Arial" w:hAnsi="Arial"/>
          <w:b/>
          <w:bCs/>
          <w:i w:val="false"/>
          <w:iCs w:val="false"/>
          <w:sz w:val="24"/>
          <w:szCs w:val="24"/>
        </w:rPr>
        <w:t xml:space="preserve">Condição que o provoca:</w:t>
      </w:r>
      <w:r>
        <w:rPr>
          <w:rFonts w:ascii="Arial" w:cs="Arial" w:eastAsia="Arial" w:hAnsi="Arial"/>
          <w:i w:val="false"/>
          <w:iCs w:val="false"/>
          <w:sz w:val="24"/>
          <w:szCs w:val="24"/>
        </w:rPr>
        <w:t xml:space="preserve"> o usuário seleciona um laboratório (coluna “Selecionar” da tabela “Laboratórios”) em um intervalo de “Data”, “Hora inicial” e “Hora final” que já possui reserva confirmada para o mesmo laboratório, e aciona “Salvar”.</w:t>
      </w:r>
    </w:p>
    <w:p>
      <w:pPr>
        <w:spacing w:after="200" w:before="0" w:line="360"/>
        <w:ind w:firstLine="709"/>
        <w:jc w:val="both"/>
      </w:pPr>
      <w:r>
        <w:rPr>
          <w:rFonts w:ascii="Arial" w:cs="Arial" w:eastAsia="Arial" w:hAnsi="Arial"/>
          <w:b/>
          <w:bCs/>
          <w:i w:val="false"/>
          <w:iCs w:val="false"/>
          <w:sz w:val="24"/>
          <w:szCs w:val="24"/>
        </w:rPr>
        <w:t xml:space="preserve">Comportamento esperado da interface:</w:t>
      </w:r>
      <w:r>
        <w:rPr>
          <w:rFonts w:ascii="Arial" w:cs="Arial" w:eastAsia="Arial" w:hAnsi="Arial"/>
          <w:i w:val="false"/>
          <w:iCs w:val="false"/>
          <w:sz w:val="24"/>
          <w:szCs w:val="24"/>
        </w:rPr>
        <w:t xml:space="preserve"> a tela permanece no formulário preenchido, destaca a linha do laboratório em conflito na tabela “Laboratórios” e exibe uma mensagem específica junto a ela (por exemplo, “LAB-02 já está reservado para o horário informado”), impedindo o envio até que o usuário altere o horário ou escolha outro laboratório.</w:t>
      </w:r>
    </w:p>
    <w:p>
      <w:pPr>
        <w:spacing w:after="200" w:before="0" w:line="360"/>
        <w:ind w:firstLine="709"/>
        <w:jc w:val="both"/>
      </w:pPr>
      <w:r>
        <w:rPr>
          <w:rFonts w:ascii="Arial" w:cs="Arial" w:eastAsia="Arial" w:hAnsi="Arial"/>
          <w:b/>
          <w:bCs/>
          <w:i w:val="false"/>
          <w:iCs w:val="false"/>
          <w:sz w:val="24"/>
          <w:szCs w:val="24"/>
        </w:rPr>
        <w:t xml:space="preserve">Por que esse estado é necessário:</w:t>
      </w:r>
      <w:r>
        <w:rPr>
          <w:rFonts w:ascii="Arial" w:cs="Arial" w:eastAsia="Arial" w:hAnsi="Arial"/>
          <w:i w:val="false"/>
          <w:iCs w:val="false"/>
          <w:sz w:val="24"/>
          <w:szCs w:val="24"/>
        </w:rPr>
        <w:t xml:space="preserve"> sem ele, dois professores poderiam reservar o mesmo laboratório para o mesmo horário, comprometendo a regra de negócio central de um sistema de reserva.</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rPr>
          <w:cantSplit/>
        </w:trPr>
        <w:tc>
          <w:tcPr>
            <w:shd w:fill="F5F5F5" w:val="clear"/>
            <w:tcMar>
              <w:top w:type="dxa" w:w="160"/>
              <w:left w:type="dxa" w:w="200"/>
              <w:bottom w:type="dxa" w:w="160"/>
              <w:right w:type="dxa" w:w="200"/>
            </w:tcMar>
          </w:tcPr>
          <w:p>
            <w:pPr>
              <w:spacing w:after="0" w:before="0" w:line="240"/>
              <w:jc w:val="left"/>
            </w:pPr>
            <w:r>
              <w:rPr>
                <w:rFonts w:ascii="Courier New" w:cs="Courier New" w:eastAsia="Courier New" w:hAnsi="Courier New"/>
                <w:sz w:val="20"/>
                <w:szCs w:val="20"/>
              </w:rPr>
              <w:t xml:space="preserve"># language: pt-br</w:t>
            </w:r>
          </w:p>
          <w:p>
            <w:pPr>
              <w:spacing w:after="0" w:before="0" w:line="240"/>
              <w:jc w:val="left"/>
            </w:pPr>
            <w:r>
              <w:rPr>
                <w:rFonts w:ascii="Courier New" w:cs="Courier New" w:eastAsia="Courier New" w:hAnsi="Courier New"/>
                <w:sz w:val="20"/>
                <w:szCs w:val="20"/>
              </w:rPr>
              <w:t xml:space="preserve">Funcionalidade: Criação de reserva de laboratório</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Cenário: Tentativa de reserva em horário já ocupado</w:t>
            </w:r>
          </w:p>
          <w:p>
            <w:pPr>
              <w:spacing w:after="0" w:before="0" w:line="240"/>
              <w:jc w:val="left"/>
            </w:pPr>
            <w:r>
              <w:rPr>
                <w:rFonts w:ascii="Courier New" w:cs="Courier New" w:eastAsia="Courier New" w:hAnsi="Courier New"/>
                <w:sz w:val="20"/>
                <w:szCs w:val="20"/>
              </w:rPr>
              <w:t xml:space="preserve">    Dado que o professor está autenticado na área "Reservas"</w:t>
            </w:r>
          </w:p>
          <w:p>
            <w:pPr>
              <w:spacing w:after="0" w:before="0" w:line="240"/>
              <w:jc w:val="left"/>
            </w:pPr>
            <w:r>
              <w:rPr>
                <w:rFonts w:ascii="Courier New" w:cs="Courier New" w:eastAsia="Courier New" w:hAnsi="Courier New"/>
                <w:sz w:val="20"/>
                <w:szCs w:val="20"/>
              </w:rPr>
              <w:t xml:space="preserve">    E o laboratório "LAB-02" já possui uma reserva confirmada</w:t>
            </w:r>
          </w:p>
          <w:p>
            <w:pPr>
              <w:spacing w:after="0" w:before="0" w:line="240"/>
              <w:jc w:val="left"/>
            </w:pPr>
            <w:r>
              <w:rPr>
                <w:rFonts w:ascii="Courier New" w:cs="Courier New" w:eastAsia="Courier New" w:hAnsi="Courier New"/>
                <w:sz w:val="20"/>
                <w:szCs w:val="20"/>
              </w:rPr>
              <w:t xml:space="preserve">      das 14h às 16h no dia 10/11/2026</w:t>
            </w:r>
          </w:p>
          <w:p>
            <w:pPr>
              <w:spacing w:after="0" w:before="0" w:line="240"/>
              <w:jc w:val="left"/>
            </w:pPr>
            <w:r>
              <w:rPr>
                <w:rFonts w:ascii="Courier New" w:cs="Courier New" w:eastAsia="Courier New" w:hAnsi="Courier New"/>
                <w:sz w:val="20"/>
                <w:szCs w:val="20"/>
              </w:rPr>
              <w:t xml:space="preserve">    Quando o professor preenche o formulário "Criar nova reserva"</w:t>
            </w:r>
          </w:p>
          <w:p>
            <w:pPr>
              <w:spacing w:after="0" w:before="0" w:line="240"/>
              <w:jc w:val="left"/>
            </w:pPr>
            <w:r>
              <w:rPr>
                <w:rFonts w:ascii="Courier New" w:cs="Courier New" w:eastAsia="Courier New" w:hAnsi="Courier New"/>
                <w:sz w:val="20"/>
                <w:szCs w:val="20"/>
              </w:rPr>
              <w:t xml:space="preserve">      selecionando o laboratório "LAB-02" no mesmo dia, das 15h às 17h</w:t>
            </w:r>
          </w:p>
          <w:p>
            <w:pPr>
              <w:spacing w:after="0" w:before="0" w:line="240"/>
              <w:jc w:val="left"/>
            </w:pPr>
            <w:r>
              <w:rPr>
                <w:rFonts w:ascii="Courier New" w:cs="Courier New" w:eastAsia="Courier New" w:hAnsi="Courier New"/>
                <w:sz w:val="20"/>
                <w:szCs w:val="20"/>
              </w:rPr>
              <w:t xml:space="preserve">    E aciona a ação "Salvar"</w:t>
            </w:r>
          </w:p>
          <w:p>
            <w:pPr>
              <w:spacing w:after="0" w:before="0" w:line="240"/>
              <w:jc w:val="left"/>
            </w:pPr>
            <w:r>
              <w:rPr>
                <w:rFonts w:ascii="Courier New" w:cs="Courier New" w:eastAsia="Courier New" w:hAnsi="Courier New"/>
                <w:sz w:val="20"/>
                <w:szCs w:val="20"/>
              </w:rPr>
              <w:t xml:space="preserve">    Então o sistema exibe a mensagem "LAB-02 já está reservado</w:t>
            </w:r>
          </w:p>
          <w:p>
            <w:pPr>
              <w:spacing w:after="0" w:before="0" w:line="240"/>
              <w:jc w:val="left"/>
            </w:pPr>
            <w:r>
              <w:rPr>
                <w:rFonts w:ascii="Courier New" w:cs="Courier New" w:eastAsia="Courier New" w:hAnsi="Courier New"/>
                <w:sz w:val="20"/>
                <w:szCs w:val="20"/>
              </w:rPr>
              <w:t xml:space="preserve">      para o horário informado"</w:t>
            </w:r>
          </w:p>
          <w:p>
            <w:pPr>
              <w:spacing w:after="0" w:before="0" w:line="240"/>
              <w:jc w:val="left"/>
            </w:pPr>
            <w:r>
              <w:rPr>
                <w:rFonts w:ascii="Courier New" w:cs="Courier New" w:eastAsia="Courier New" w:hAnsi="Courier New"/>
                <w:sz w:val="20"/>
                <w:szCs w:val="20"/>
              </w:rPr>
              <w:t xml:space="preserve">    E a reserva não é criada</w:t>
            </w:r>
          </w:p>
          <w:p>
            <w:pPr>
              <w:spacing w:after="0" w:before="0" w:line="240"/>
              <w:jc w:val="left"/>
            </w:pPr>
            <w:r>
              <w:rPr>
                <w:rFonts w:ascii="Courier New" w:cs="Courier New" w:eastAsia="Courier New" w:hAnsi="Courier New"/>
                <w:sz w:val="20"/>
                <w:szCs w:val="20"/>
              </w:rPr>
              <w:t xml:space="preserve">    E o laboratório "LAB-02" permanece destacado até que o professor</w:t>
            </w:r>
          </w:p>
          <w:p>
            <w:pPr>
              <w:spacing w:after="0" w:before="0" w:line="240"/>
              <w:jc w:val="left"/>
            </w:pPr>
            <w:r>
              <w:rPr>
                <w:rFonts w:ascii="Courier New" w:cs="Courier New" w:eastAsia="Courier New" w:hAnsi="Courier New"/>
                <w:sz w:val="20"/>
                <w:szCs w:val="20"/>
              </w:rPr>
              <w:t xml:space="preserve">      escolha outro horário ou laboratório</w:t>
            </w:r>
          </w:p>
        </w:tc>
      </w:tr>
    </w:tbl>
    <w:p>
      <w:pPr>
        <w:spacing w:after="80" w:before="200" w:line="240"/>
        <w:jc w:val="center"/>
      </w:pPr>
      <w:r>
        <w:rPr>
          <w:rFonts w:ascii="Arial" w:cs="Arial" w:eastAsia="Arial" w:hAnsi="Arial"/>
          <w:b w:val="false"/>
          <w:bCs w:val="false"/>
          <w:sz w:val="20"/>
          <w:szCs w:val="20"/>
        </w:rPr>
        <w:t xml:space="preserve">Quadro 2 — Cenário Gherkin relacionado ao Estado 1 — Conflito de horário</w:t>
      </w:r>
    </w:p>
    <w:p>
      <w:pPr>
        <w:spacing w:after="280" w:before="80" w:line="240"/>
        <w:jc w:val="center"/>
      </w:pPr>
      <w:r>
        <w:rPr>
          <w:rFonts w:ascii="Arial" w:cs="Arial" w:eastAsia="Arial" w:hAnsi="Arial"/>
          <w:sz w:val="20"/>
          <w:szCs w:val="20"/>
        </w:rPr>
        <w:t xml:space="preserve">Fonte: elaboração própria (2026).</w:t>
      </w:r>
    </w:p>
    <w:p>
      <w:pPr>
        <w:spacing w:after="160" w:before="280" w:line="360"/>
        <w:jc w:val="left"/>
      </w:pPr>
      <w:r>
        <w:rPr>
          <w:rFonts w:ascii="Arial" w:cs="Arial" w:eastAsia="Arial" w:hAnsi="Arial"/>
          <w:b/>
          <w:bCs/>
          <w:i/>
          <w:iCs/>
          <w:sz w:val="24"/>
          <w:szCs w:val="24"/>
        </w:rPr>
        <w:t xml:space="preserve">2.2.2 Estado 2 — Validação de campos obrigatórios e de capacidade excedida</w:t>
      </w:r>
    </w:p>
    <w:p>
      <w:pPr>
        <w:spacing w:after="200" w:before="0" w:line="360"/>
        <w:ind w:firstLine="709"/>
        <w:jc w:val="both"/>
      </w:pPr>
      <w:r>
        <w:rPr>
          <w:rFonts w:ascii="Arial" w:cs="Arial" w:eastAsia="Arial" w:hAnsi="Arial"/>
          <w:b/>
          <w:bCs/>
          <w:i w:val="false"/>
          <w:iCs w:val="false"/>
          <w:sz w:val="24"/>
          <w:szCs w:val="24"/>
        </w:rPr>
        <w:t xml:space="preserve">Condição que o provoca:</w:t>
      </w:r>
      <w:r>
        <w:rPr>
          <w:rFonts w:ascii="Arial" w:cs="Arial" w:eastAsia="Arial" w:hAnsi="Arial"/>
          <w:i w:val="false"/>
          <w:iCs w:val="false"/>
          <w:sz w:val="24"/>
          <w:szCs w:val="24"/>
        </w:rPr>
        <w:t xml:space="preserve"> o usuário aciona “Salvar” com campos obrigatórios em branco (por exemplo, “Data” ou “Turma”) ou informa uma “Qtd. alunos” maior que a capacidade do laboratório selecionado na tabela “Laboratórios” (LAB-01: 30; LAB-02: 24; LAB-03: 20).</w:t>
      </w:r>
    </w:p>
    <w:p>
      <w:pPr>
        <w:spacing w:after="200" w:before="0" w:line="360"/>
        <w:ind w:firstLine="709"/>
        <w:jc w:val="both"/>
      </w:pPr>
      <w:r>
        <w:rPr>
          <w:rFonts w:ascii="Arial" w:cs="Arial" w:eastAsia="Arial" w:hAnsi="Arial"/>
          <w:b/>
          <w:bCs/>
          <w:i w:val="false"/>
          <w:iCs w:val="false"/>
          <w:sz w:val="24"/>
          <w:szCs w:val="24"/>
        </w:rPr>
        <w:t xml:space="preserve">Comportamento esperado da interface:</w:t>
      </w:r>
      <w:r>
        <w:rPr>
          <w:rFonts w:ascii="Arial" w:cs="Arial" w:eastAsia="Arial" w:hAnsi="Arial"/>
          <w:i w:val="false"/>
          <w:iCs w:val="false"/>
          <w:sz w:val="24"/>
          <w:szCs w:val="24"/>
        </w:rPr>
        <w:t xml:space="preserve"> a tela mantém o usuário no formulário, destaca em vermelho os campos inválidos, exibe uma mensagem específica junto a cada campo (por exemplo, “Qtd. de alunos (35) excede a capacidade do LAB-03 (20)”) e mantém “Salvar” indisponível até a correção dos valores.</w:t>
      </w:r>
    </w:p>
    <w:p>
      <w:pPr>
        <w:spacing w:after="200" w:before="0" w:line="360"/>
        <w:ind w:firstLine="709"/>
        <w:jc w:val="both"/>
      </w:pPr>
      <w:r>
        <w:rPr>
          <w:rFonts w:ascii="Arial" w:cs="Arial" w:eastAsia="Arial" w:hAnsi="Arial"/>
          <w:b/>
          <w:bCs/>
          <w:i w:val="false"/>
          <w:iCs w:val="false"/>
          <w:sz w:val="24"/>
          <w:szCs w:val="24"/>
        </w:rPr>
        <w:t xml:space="preserve">Por que esse estado é necessário:</w:t>
      </w:r>
      <w:r>
        <w:rPr>
          <w:rFonts w:ascii="Arial" w:cs="Arial" w:eastAsia="Arial" w:hAnsi="Arial"/>
          <w:i w:val="false"/>
          <w:iCs w:val="false"/>
          <w:sz w:val="24"/>
          <w:szCs w:val="24"/>
        </w:rPr>
        <w:t xml:space="preserve"> o wireframe fornecido não define nenhuma restrição de preenchimento visível para os campos do formulário; sem esse estado, seria possível persistir uma reserva com dados inconsistentes com a capacidade real do laboratório escolhido.</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rPr>
          <w:cantSplit/>
        </w:trPr>
        <w:tc>
          <w:tcPr>
            <w:shd w:fill="F5F5F5" w:val="clear"/>
            <w:tcMar>
              <w:top w:type="dxa" w:w="160"/>
              <w:left w:type="dxa" w:w="200"/>
              <w:bottom w:type="dxa" w:w="160"/>
              <w:right w:type="dxa" w:w="200"/>
            </w:tcMar>
          </w:tcPr>
          <w:p>
            <w:pPr>
              <w:spacing w:after="0" w:before="0" w:line="240"/>
              <w:jc w:val="left"/>
            </w:pPr>
            <w:r>
              <w:rPr>
                <w:rFonts w:ascii="Courier New" w:cs="Courier New" w:eastAsia="Courier New" w:hAnsi="Courier New"/>
                <w:sz w:val="20"/>
                <w:szCs w:val="20"/>
              </w:rPr>
              <w:t xml:space="preserve"># language: pt-br</w:t>
            </w:r>
          </w:p>
          <w:p>
            <w:pPr>
              <w:spacing w:after="0" w:before="0" w:line="240"/>
              <w:jc w:val="left"/>
            </w:pPr>
            <w:r>
              <w:rPr>
                <w:rFonts w:ascii="Courier New" w:cs="Courier New" w:eastAsia="Courier New" w:hAnsi="Courier New"/>
                <w:sz w:val="20"/>
                <w:szCs w:val="20"/>
              </w:rPr>
              <w:t xml:space="preserve">Funcionalidade: Criação de reserva de laboratório</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Cenário: Quantidade de alunos excede a capacidade do laboratório</w:t>
            </w:r>
          </w:p>
          <w:p>
            <w:pPr>
              <w:spacing w:after="0" w:before="0" w:line="240"/>
              <w:jc w:val="left"/>
            </w:pPr>
            <w:r>
              <w:rPr>
                <w:rFonts w:ascii="Courier New" w:cs="Courier New" w:eastAsia="Courier New" w:hAnsi="Courier New"/>
                <w:sz w:val="20"/>
                <w:szCs w:val="20"/>
              </w:rPr>
              <w:t xml:space="preserve">    Dado que o professor está preenchendo o formulário</w:t>
            </w:r>
          </w:p>
          <w:p>
            <w:pPr>
              <w:spacing w:after="0" w:before="0" w:line="240"/>
              <w:jc w:val="left"/>
            </w:pPr>
            <w:r>
              <w:rPr>
                <w:rFonts w:ascii="Courier New" w:cs="Courier New" w:eastAsia="Courier New" w:hAnsi="Courier New"/>
                <w:sz w:val="20"/>
                <w:szCs w:val="20"/>
              </w:rPr>
              <w:t xml:space="preserve">      "Criar nova reserva"</w:t>
            </w:r>
          </w:p>
          <w:p>
            <w:pPr>
              <w:spacing w:after="0" w:before="0" w:line="240"/>
              <w:jc w:val="left"/>
            </w:pPr>
            <w:r>
              <w:rPr>
                <w:rFonts w:ascii="Courier New" w:cs="Courier New" w:eastAsia="Courier New" w:hAnsi="Courier New"/>
                <w:sz w:val="20"/>
                <w:szCs w:val="20"/>
              </w:rPr>
              <w:t xml:space="preserve">    E o laboratório "LAB-03" possui capacidade máxima de 20 alunos</w:t>
            </w:r>
          </w:p>
          <w:p>
            <w:pPr>
              <w:spacing w:after="0" w:before="0" w:line="240"/>
              <w:jc w:val="left"/>
            </w:pPr>
            <w:r>
              <w:rPr>
                <w:rFonts w:ascii="Courier New" w:cs="Courier New" w:eastAsia="Courier New" w:hAnsi="Courier New"/>
                <w:sz w:val="20"/>
                <w:szCs w:val="20"/>
              </w:rPr>
              <w:t xml:space="preserve">    Quando o professor informa "35" no campo "Qtd. alunos"</w:t>
            </w:r>
          </w:p>
          <w:p>
            <w:pPr>
              <w:spacing w:after="0" w:before="0" w:line="240"/>
              <w:jc w:val="left"/>
            </w:pPr>
            <w:r>
              <w:rPr>
                <w:rFonts w:ascii="Courier New" w:cs="Courier New" w:eastAsia="Courier New" w:hAnsi="Courier New"/>
                <w:sz w:val="20"/>
                <w:szCs w:val="20"/>
              </w:rPr>
              <w:t xml:space="preserve">      e seleciona o laboratório "LAB-03"</w:t>
            </w:r>
          </w:p>
          <w:p>
            <w:pPr>
              <w:spacing w:after="0" w:before="0" w:line="240"/>
              <w:jc w:val="left"/>
            </w:pPr>
            <w:r>
              <w:rPr>
                <w:rFonts w:ascii="Courier New" w:cs="Courier New" w:eastAsia="Courier New" w:hAnsi="Courier New"/>
                <w:sz w:val="20"/>
                <w:szCs w:val="20"/>
              </w:rPr>
              <w:t xml:space="preserve">    E aciona a ação "Salvar"</w:t>
            </w:r>
          </w:p>
          <w:p>
            <w:pPr>
              <w:spacing w:after="0" w:before="0" w:line="240"/>
              <w:jc w:val="left"/>
            </w:pPr>
            <w:r>
              <w:rPr>
                <w:rFonts w:ascii="Courier New" w:cs="Courier New" w:eastAsia="Courier New" w:hAnsi="Courier New"/>
                <w:sz w:val="20"/>
                <w:szCs w:val="20"/>
              </w:rPr>
              <w:t xml:space="preserve">    Então o sistema exibe a mensagem "Qtd. de alunos (35) excede</w:t>
            </w:r>
          </w:p>
          <w:p>
            <w:pPr>
              <w:spacing w:after="0" w:before="0" w:line="240"/>
              <w:jc w:val="left"/>
            </w:pPr>
            <w:r>
              <w:rPr>
                <w:rFonts w:ascii="Courier New" w:cs="Courier New" w:eastAsia="Courier New" w:hAnsi="Courier New"/>
                <w:sz w:val="20"/>
                <w:szCs w:val="20"/>
              </w:rPr>
              <w:t xml:space="preserve">      a capacidade do LAB-03 (20)" junto ao campo "Qtd. alunos"</w:t>
            </w:r>
          </w:p>
          <w:p>
            <w:pPr>
              <w:spacing w:after="0" w:before="0" w:line="240"/>
              <w:jc w:val="left"/>
            </w:pPr>
            <w:r>
              <w:rPr>
                <w:rFonts w:ascii="Courier New" w:cs="Courier New" w:eastAsia="Courier New" w:hAnsi="Courier New"/>
                <w:sz w:val="20"/>
                <w:szCs w:val="20"/>
              </w:rPr>
              <w:t xml:space="preserve">    E a ação "Salvar" permanece indisponível até a correção do valor</w:t>
            </w:r>
          </w:p>
        </w:tc>
      </w:tr>
    </w:tbl>
    <w:p>
      <w:pPr>
        <w:spacing w:after="80" w:before="200" w:line="240"/>
        <w:jc w:val="center"/>
      </w:pPr>
      <w:r>
        <w:rPr>
          <w:rFonts w:ascii="Arial" w:cs="Arial" w:eastAsia="Arial" w:hAnsi="Arial"/>
          <w:b w:val="false"/>
          <w:bCs w:val="false"/>
          <w:sz w:val="20"/>
          <w:szCs w:val="20"/>
        </w:rPr>
        <w:t xml:space="preserve">Quadro 3 — Cenário Gherkin relacionado ao Estado 2 — Validação de capacidade excedida</w:t>
      </w:r>
    </w:p>
    <w:p>
      <w:pPr>
        <w:spacing w:after="280" w:before="80" w:line="240"/>
        <w:jc w:val="center"/>
      </w:pPr>
      <w:r>
        <w:rPr>
          <w:rFonts w:ascii="Arial" w:cs="Arial" w:eastAsia="Arial" w:hAnsi="Arial"/>
          <w:sz w:val="20"/>
          <w:szCs w:val="20"/>
        </w:rPr>
        <w:t xml:space="preserve">Fonte: elaboração própria (2026).</w:t>
      </w:r>
    </w:p>
    <w:p>
      <w:pPr>
        <w:spacing w:after="160" w:before="280" w:line="360"/>
        <w:jc w:val="left"/>
      </w:pPr>
      <w:r>
        <w:rPr>
          <w:rFonts w:ascii="Arial" w:cs="Arial" w:eastAsia="Arial" w:hAnsi="Arial"/>
          <w:b/>
          <w:bCs/>
          <w:i/>
          <w:iCs/>
          <w:sz w:val="24"/>
          <w:szCs w:val="24"/>
        </w:rPr>
        <w:t xml:space="preserve">2.2.3 Estado 3 — Falha de sistema ao salvar a reserva</w:t>
      </w:r>
    </w:p>
    <w:p>
      <w:pPr>
        <w:spacing w:after="200" w:before="0" w:line="360"/>
        <w:ind w:firstLine="709"/>
        <w:jc w:val="both"/>
      </w:pPr>
      <w:r>
        <w:rPr>
          <w:rFonts w:ascii="Arial" w:cs="Arial" w:eastAsia="Arial" w:hAnsi="Arial"/>
          <w:b/>
          <w:bCs/>
          <w:i w:val="false"/>
          <w:iCs w:val="false"/>
          <w:sz w:val="24"/>
          <w:szCs w:val="24"/>
        </w:rPr>
        <w:t xml:space="preserve">Condição que o provoca:</w:t>
      </w:r>
      <w:r>
        <w:rPr>
          <w:rFonts w:ascii="Arial" w:cs="Arial" w:eastAsia="Arial" w:hAnsi="Arial"/>
          <w:i w:val="false"/>
          <w:iCs w:val="false"/>
          <w:sz w:val="24"/>
          <w:szCs w:val="24"/>
        </w:rPr>
        <w:t xml:space="preserve"> o usuário preenche o formulário corretamente, sem conflitos de horário nem violações de capacidade, e aciona “Salvar”, mas a requisição ao servidor falha antes de uma resposta de sucesso ou de conflito ser recebida (por exemplo, perda de conexão ou indisponibilidade temporária do serviço).</w:t>
      </w:r>
    </w:p>
    <w:p>
      <w:pPr>
        <w:spacing w:after="200" w:before="0" w:line="360"/>
        <w:ind w:firstLine="709"/>
        <w:jc w:val="both"/>
      </w:pPr>
      <w:r>
        <w:rPr>
          <w:rFonts w:ascii="Arial" w:cs="Arial" w:eastAsia="Arial" w:hAnsi="Arial"/>
          <w:b/>
          <w:bCs/>
          <w:i w:val="false"/>
          <w:iCs w:val="false"/>
          <w:sz w:val="24"/>
          <w:szCs w:val="24"/>
        </w:rPr>
        <w:t xml:space="preserve">Comportamento esperado da interface:</w:t>
      </w:r>
      <w:r>
        <w:rPr>
          <w:rFonts w:ascii="Arial" w:cs="Arial" w:eastAsia="Arial" w:hAnsi="Arial"/>
          <w:i w:val="false"/>
          <w:iCs w:val="false"/>
          <w:sz w:val="24"/>
          <w:szCs w:val="24"/>
        </w:rPr>
        <w:t xml:space="preserve"> a tela mantém todos os dados já preenchidos pelo usuário, exibe uma mensagem de erro de sistema (por exemplo, “Não foi possível salvar a reserva. Tente novamente.”) e reabilita a ação “Salvar” para uma nova tentativa.</w:t>
      </w:r>
    </w:p>
    <w:p>
      <w:pPr>
        <w:spacing w:after="200" w:before="0" w:line="360"/>
        <w:ind w:firstLine="709"/>
        <w:jc w:val="both"/>
      </w:pPr>
      <w:r>
        <w:rPr>
          <w:rFonts w:ascii="Arial" w:cs="Arial" w:eastAsia="Arial" w:hAnsi="Arial"/>
          <w:b/>
          <w:bCs/>
          <w:i w:val="false"/>
          <w:iCs w:val="false"/>
          <w:sz w:val="24"/>
          <w:szCs w:val="24"/>
        </w:rPr>
        <w:t xml:space="preserve">Por que esse estado é necessário:</w:t>
      </w:r>
      <w:r>
        <w:rPr>
          <w:rFonts w:ascii="Arial" w:cs="Arial" w:eastAsia="Arial" w:hAnsi="Arial"/>
          <w:i w:val="false"/>
          <w:iCs w:val="false"/>
          <w:sz w:val="24"/>
          <w:szCs w:val="24"/>
        </w:rPr>
        <w:t xml:space="preserve"> sem ele, uma falha de comunicação levaria o usuário a perder os dados já preenchidos ou a permanecer sem qualquer retorno sobre o que ocorreu, violando a visibilidade do status do sistema (NIELSEN, 1994).</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rPr>
          <w:cantSplit/>
        </w:trPr>
        <w:tc>
          <w:tcPr>
            <w:shd w:fill="F5F5F5" w:val="clear"/>
            <w:tcMar>
              <w:top w:type="dxa" w:w="160"/>
              <w:left w:type="dxa" w:w="200"/>
              <w:bottom w:type="dxa" w:w="160"/>
              <w:right w:type="dxa" w:w="200"/>
            </w:tcMar>
          </w:tcPr>
          <w:p>
            <w:pPr>
              <w:spacing w:after="0" w:before="0" w:line="240"/>
              <w:jc w:val="left"/>
            </w:pPr>
            <w:r>
              <w:rPr>
                <w:rFonts w:ascii="Courier New" w:cs="Courier New" w:eastAsia="Courier New" w:hAnsi="Courier New"/>
                <w:sz w:val="20"/>
                <w:szCs w:val="20"/>
              </w:rPr>
              <w:t xml:space="preserve"># language: pt-br</w:t>
            </w:r>
          </w:p>
          <w:p>
            <w:pPr>
              <w:spacing w:after="0" w:before="0" w:line="240"/>
              <w:jc w:val="left"/>
            </w:pPr>
            <w:r>
              <w:rPr>
                <w:rFonts w:ascii="Courier New" w:cs="Courier New" w:eastAsia="Courier New" w:hAnsi="Courier New"/>
                <w:sz w:val="20"/>
                <w:szCs w:val="20"/>
              </w:rPr>
              <w:t xml:space="preserve">Funcionalidade: Criação de reserva de laboratório</w:t>
            </w:r>
          </w:p>
          <w:p>
            <w:pPr>
              <w:spacing w:after="0" w:before="0" w:line="240"/>
              <w:jc w:val="left"/>
            </w:pPr>
            <w:r>
              <w:rPr>
                <w:rFonts w:ascii="Courier New" w:cs="Courier New" w:eastAsia="Courier New" w:hAnsi="Courier New"/>
                <w:sz w:val="20"/>
                <w:szCs w:val="20"/>
              </w:rPr>
              <w:t xml:space="preserve"> </w:t>
            </w:r>
          </w:p>
          <w:p>
            <w:pPr>
              <w:spacing w:after="0" w:before="0" w:line="240"/>
              <w:jc w:val="left"/>
            </w:pPr>
            <w:r>
              <w:rPr>
                <w:rFonts w:ascii="Courier New" w:cs="Courier New" w:eastAsia="Courier New" w:hAnsi="Courier New"/>
                <w:sz w:val="20"/>
                <w:szCs w:val="20"/>
              </w:rPr>
              <w:t xml:space="preserve">  Cenário: Falha de comunicação ao salvar a reserva</w:t>
            </w:r>
          </w:p>
          <w:p>
            <w:pPr>
              <w:spacing w:after="0" w:before="0" w:line="240"/>
              <w:jc w:val="left"/>
            </w:pPr>
            <w:r>
              <w:rPr>
                <w:rFonts w:ascii="Courier New" w:cs="Courier New" w:eastAsia="Courier New" w:hAnsi="Courier New"/>
                <w:sz w:val="20"/>
                <w:szCs w:val="20"/>
              </w:rPr>
              <w:t xml:space="preserve">    Dado que o professor preencheu corretamente o formulário</w:t>
            </w:r>
          </w:p>
          <w:p>
            <w:pPr>
              <w:spacing w:after="0" w:before="0" w:line="240"/>
              <w:jc w:val="left"/>
            </w:pPr>
            <w:r>
              <w:rPr>
                <w:rFonts w:ascii="Courier New" w:cs="Courier New" w:eastAsia="Courier New" w:hAnsi="Courier New"/>
                <w:sz w:val="20"/>
                <w:szCs w:val="20"/>
              </w:rPr>
              <w:t xml:space="preserve">      "Criar nova reserva"</w:t>
            </w:r>
          </w:p>
          <w:p>
            <w:pPr>
              <w:spacing w:after="0" w:before="0" w:line="240"/>
              <w:jc w:val="left"/>
            </w:pPr>
            <w:r>
              <w:rPr>
                <w:rFonts w:ascii="Courier New" w:cs="Courier New" w:eastAsia="Courier New" w:hAnsi="Courier New"/>
                <w:sz w:val="20"/>
                <w:szCs w:val="20"/>
              </w:rPr>
              <w:t xml:space="preserve">    E selecionou um laboratório disponível no horário informado</w:t>
            </w:r>
          </w:p>
          <w:p>
            <w:pPr>
              <w:spacing w:after="0" w:before="0" w:line="240"/>
              <w:jc w:val="left"/>
            </w:pPr>
            <w:r>
              <w:rPr>
                <w:rFonts w:ascii="Courier New" w:cs="Courier New" w:eastAsia="Courier New" w:hAnsi="Courier New"/>
                <w:sz w:val="20"/>
                <w:szCs w:val="20"/>
              </w:rPr>
              <w:t xml:space="preserve">    Quando o professor aciona a ação "Salvar"</w:t>
            </w:r>
          </w:p>
          <w:p>
            <w:pPr>
              <w:spacing w:after="0" w:before="0" w:line="240"/>
              <w:jc w:val="left"/>
            </w:pPr>
            <w:r>
              <w:rPr>
                <w:rFonts w:ascii="Courier New" w:cs="Courier New" w:eastAsia="Courier New" w:hAnsi="Courier New"/>
                <w:sz w:val="20"/>
                <w:szCs w:val="20"/>
              </w:rPr>
              <w:t xml:space="preserve">    E ocorre uma falha de comunicação com o servidor</w:t>
            </w:r>
          </w:p>
          <w:p>
            <w:pPr>
              <w:spacing w:after="0" w:before="0" w:line="240"/>
              <w:jc w:val="left"/>
            </w:pPr>
            <w:r>
              <w:rPr>
                <w:rFonts w:ascii="Courier New" w:cs="Courier New" w:eastAsia="Courier New" w:hAnsi="Courier New"/>
                <w:sz w:val="20"/>
                <w:szCs w:val="20"/>
              </w:rPr>
              <w:t xml:space="preserve">    Então o sistema exibe a mensagem "Não foi possível salvar</w:t>
            </w:r>
          </w:p>
          <w:p>
            <w:pPr>
              <w:spacing w:after="0" w:before="0" w:line="240"/>
              <w:jc w:val="left"/>
            </w:pPr>
            <w:r>
              <w:rPr>
                <w:rFonts w:ascii="Courier New" w:cs="Courier New" w:eastAsia="Courier New" w:hAnsi="Courier New"/>
                <w:sz w:val="20"/>
                <w:szCs w:val="20"/>
              </w:rPr>
              <w:t xml:space="preserve">      a reserva. Tente novamente."</w:t>
            </w:r>
          </w:p>
          <w:p>
            <w:pPr>
              <w:spacing w:after="0" w:before="0" w:line="240"/>
              <w:jc w:val="left"/>
            </w:pPr>
            <w:r>
              <w:rPr>
                <w:rFonts w:ascii="Courier New" w:cs="Courier New" w:eastAsia="Courier New" w:hAnsi="Courier New"/>
                <w:sz w:val="20"/>
                <w:szCs w:val="20"/>
              </w:rPr>
              <w:t xml:space="preserve">    E os dados preenchidos pelo professor permanecem no formulário</w:t>
            </w:r>
          </w:p>
          <w:p>
            <w:pPr>
              <w:spacing w:after="0" w:before="0" w:line="240"/>
              <w:jc w:val="left"/>
            </w:pPr>
            <w:r>
              <w:rPr>
                <w:rFonts w:ascii="Courier New" w:cs="Courier New" w:eastAsia="Courier New" w:hAnsi="Courier New"/>
                <w:sz w:val="20"/>
                <w:szCs w:val="20"/>
              </w:rPr>
              <w:t xml:space="preserve">    E a ação "Salvar" é reabilitada para uma nova tentativa</w:t>
            </w:r>
          </w:p>
        </w:tc>
      </w:tr>
    </w:tbl>
    <w:p>
      <w:pPr>
        <w:spacing w:after="80" w:before="200" w:line="240"/>
        <w:jc w:val="center"/>
      </w:pPr>
      <w:r>
        <w:rPr>
          <w:rFonts w:ascii="Arial" w:cs="Arial" w:eastAsia="Arial" w:hAnsi="Arial"/>
          <w:b w:val="false"/>
          <w:bCs w:val="false"/>
          <w:sz w:val="20"/>
          <w:szCs w:val="20"/>
        </w:rPr>
        <w:t xml:space="preserve">Quadro 4 — Cenário Gherkin relacionado ao Estado 3 — Falha de sistema ao salvar</w:t>
      </w:r>
    </w:p>
    <w:p>
      <w:pPr>
        <w:spacing w:after="280" w:before="80" w:line="240"/>
        <w:jc w:val="center"/>
      </w:pPr>
      <w:r>
        <w:rPr>
          <w:rFonts w:ascii="Arial" w:cs="Arial" w:eastAsia="Arial" w:hAnsi="Arial"/>
          <w:sz w:val="20"/>
          <w:szCs w:val="20"/>
        </w:rPr>
        <w:t xml:space="preserve">Fonte: elaboração própria (2026).</w:t>
      </w:r>
    </w:p>
    <w:p>
      <w:pPr>
        <w:pageBreakBefore/>
        <w:spacing w:after="240" w:before="480" w:line="360"/>
        <w:jc w:val="left"/>
      </w:pPr>
      <w:r>
        <w:rPr>
          <w:rFonts w:ascii="Arial" w:cs="Arial" w:eastAsia="Arial" w:hAnsi="Arial"/>
          <w:b/>
          <w:bCs/>
          <w:sz w:val="24"/>
          <w:szCs w:val="24"/>
        </w:rPr>
        <w:t xml:space="preserve">3 PARTE C — PRODUÇÃO NO FIGMA</w:t>
      </w:r>
    </w:p>
    <w:p>
      <w:pPr>
        <w:spacing w:after="200" w:before="0" w:line="360"/>
        <w:ind w:firstLine="709"/>
        <w:jc w:val="both"/>
      </w:pPr>
      <w:r>
        <w:rPr>
          <w:rFonts w:ascii="Arial" w:cs="Arial" w:eastAsia="Arial" w:hAnsi="Arial"/>
          <w:i w:val="false"/>
          <w:iCs w:val="false"/>
          <w:sz w:val="24"/>
          <w:szCs w:val="24"/>
        </w:rPr>
        <w:t xml:space="preserve">Esta parte utiliza o projeto real do grupo na disciplina de Fábrica de Software I — o sistema Rede de Apoio a Cuidadores de Idosos —, e não o caso fictício de reserva de laboratórios das Partes A e B. O GitHub do repositório (webkauadev/rede-de-apoio, branch main) é a fonte funcional de requisitos, User Stories e rastreabilidade; o Figma (arquivo tcyj2fkTXei2CJbqaRxqCp, página Fluxo Final) é a fonte visual/prototípica vigente das telas de alta fidelidade.</w:t>
      </w:r>
    </w:p>
    <w:p>
      <w:pPr>
        <w:spacing w:after="200" w:before="360" w:line="360"/>
        <w:jc w:val="left"/>
      </w:pPr>
      <w:r>
        <w:rPr>
          <w:rFonts w:ascii="Arial" w:cs="Arial" w:eastAsia="Arial" w:hAnsi="Arial"/>
          <w:b/>
          <w:bCs/>
          <w:sz w:val="24"/>
          <w:szCs w:val="24"/>
        </w:rPr>
        <w:t xml:space="preserve">3.1 C1 — Site Map do projeto</w:t>
      </w:r>
    </w:p>
    <w:p>
      <w:pPr>
        <w:spacing w:after="200" w:before="0" w:line="360"/>
        <w:ind w:firstLine="709"/>
        <w:jc w:val="both"/>
      </w:pPr>
      <w:r>
        <w:rPr>
          <w:rFonts w:ascii="Arial" w:cs="Arial" w:eastAsia="Arial" w:hAnsi="Arial"/>
          <w:i w:val="false"/>
          <w:iCs w:val="false"/>
          <w:sz w:val="24"/>
          <w:szCs w:val="24"/>
        </w:rPr>
        <w:t xml:space="preserve">O Site Map a seguir foi construído a partir das Histórias de Usuário aprovadas do grupo e representa a arquitetura completa do sistema Rede de Apoio, com as 17 telas (T01 a T17), e não apenas as telas sob responsabilidade individual do autor. A figura evidencia: a página Home e as áreas de primeiro nível (Agenda e Plantões, Registros de Cuidado, Rotina e Saúde, Rede e Apoio, Controle e Privacidade); no mínimo três níveis de profundidade a partir de Home; o perfil de acesso de cada área, conforme a legenda (NA — não autenticado; FP — Familiar Principal; FA/FE — Familiar de Apoio/Emergência; PS — Profissional da Saúde; e a condição temporária de Plantonista Atual); e a rastreabilidade entre cada tela e as User Stories das quais ela se origina, indicada nos próprios cartões de tela. As telas sob responsabilidade individual do autor — T06 (Diário de Cuidados), T16 (Preferências de Notificações) e T17 (Auditoria) — estão discretamente destacadas com um contorno, sem que nenhuma das demais telas do sistema tenha sido ocultada ou removida da figura, de modo a demonstrar o conhecimento da arquitetura completa do produto.</w:t>
      </w:r>
    </w:p>
    <w:p>
      <w:pPr>
        <w:spacing w:after="0" w:before="200"/>
        <w:jc w:val="center"/>
      </w:pPr>
      <w:r>
        <w:drawing>
          <wp:inline distT="0" distB="0" distL="0" distR="0">
            <wp:extent cx="5762625"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495925"/>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2 — Site Map completo da Rede de Apoio a Cuidadores de Idosos, com destaque para as telas T06, T16 e T17 sob responsabilidade individual do autor</w:t>
      </w:r>
    </w:p>
    <w:p>
      <w:pPr>
        <w:spacing w:after="280" w:before="80" w:line="240"/>
        <w:jc w:val="center"/>
      </w:pPr>
      <w:r>
        <w:rPr>
          <w:rFonts w:ascii="Arial" w:cs="Arial" w:eastAsia="Arial" w:hAnsi="Arial"/>
          <w:sz w:val="20"/>
          <w:szCs w:val="20"/>
        </w:rPr>
        <w:t xml:space="preserve">Fonte: elaboração própria (2026).</w:t>
      </w:r>
    </w:p>
    <w:p>
      <w:pPr>
        <w:spacing w:after="120" w:before="0" w:line="360"/>
        <w:ind w:firstLine="709"/>
        <w:jc w:val="both"/>
      </w:pPr>
      <w:r>
        <w:rPr>
          <w:rFonts w:ascii="Arial" w:cs="Arial" w:eastAsia="Arial" w:hAnsi="Arial"/>
          <w:i w:val="false"/>
          <w:iCs w:val="false"/>
          <w:sz w:val="24"/>
          <w:szCs w:val="24"/>
        </w:rPr>
        <w:t xml:space="preserve">O quadro a seguir apresenta a rastreabilidade completa entre cada uma das 17 telas do sistema, o integrante responsável, as User Stories (US) das quais a tela se origina e os requisitos funcionais e não funcionais (RF/RNF) aplicáveis, conforme a documentação canônica do repositório GitHub (docs/03_INFORMATION_ARCHITECTURE/TRACEABILITY_MATRIX.md). As linhas referentes às telas T06, T16 e T17, sob responsabilidade do autor, estão destacadas.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2971"/>
      </w:tblGrid>
      <w:tr>
        <w:trPr>
          <w:cantSplit/>
          <w:tblHeader/>
        </w:trPr>
        <w:tc>
          <w:tcPr>
            <w:tcW w:type="dxa" w:w="900"/>
            <w:tcBorders>
              <w:top w:val="single" w:color="999999" w:sz="4"/>
              <w:left w:val="single" w:color="999999" w:sz="4"/>
              <w:bottom w:val="single" w:color="999999" w:sz="4"/>
              <w:right w:val="single" w:color="999999" w:sz="4"/>
            </w:tcBorders>
            <w:shd w:fill="E4E4E6"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TELA</w:t>
            </w:r>
          </w:p>
        </w:tc>
        <w:tc>
          <w:tcPr>
            <w:tcW w:type="dxa" w:w="1400"/>
            <w:tcBorders>
              <w:top w:val="single" w:color="999999" w:sz="4"/>
              <w:left w:val="single" w:color="999999" w:sz="4"/>
              <w:bottom w:val="single" w:color="999999" w:sz="4"/>
              <w:right w:val="single" w:color="999999" w:sz="4"/>
            </w:tcBorders>
            <w:shd w:fill="E4E4E6"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RESPONSÁVEL</w:t>
            </w:r>
          </w:p>
        </w:tc>
        <w:tc>
          <w:tcPr>
            <w:tcW w:type="dxa" w:w="3800"/>
            <w:tcBorders>
              <w:top w:val="single" w:color="999999" w:sz="4"/>
              <w:left w:val="single" w:color="999999" w:sz="4"/>
              <w:bottom w:val="single" w:color="999999" w:sz="4"/>
              <w:right w:val="single" w:color="999999" w:sz="4"/>
            </w:tcBorders>
            <w:shd w:fill="E4E4E6"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US</w:t>
            </w:r>
          </w:p>
        </w:tc>
        <w:tc>
          <w:tcPr>
            <w:tcW w:type="dxa" w:w="2971"/>
            <w:tcBorders>
              <w:top w:val="single" w:color="999999" w:sz="4"/>
              <w:left w:val="single" w:color="999999" w:sz="4"/>
              <w:bottom w:val="single" w:color="999999" w:sz="4"/>
              <w:right w:val="single" w:color="999999" w:sz="4"/>
            </w:tcBorders>
            <w:shd w:fill="E4E4E6"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RF/RNF</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US-002 (autenticação compartilhada com US-036)</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RF02 (+RF30)</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US-001 (ativação compartilhada com US-036)</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RF01 (+RF30)</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Rhuan</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US-009, US-020, US-029, US-030</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RF07, RF17, RF25, RF26</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Rhuan</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US-008, US-009, US-011, US-012, US-013, US-014</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RF06, RF07, RF08, RF09, RF10</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Henrique</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US-010 (contexto US-019, US-020, US-021, US-023, US-025, US-030, US-034)</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RF07 (contexto RF16, RF17, RF18, RF20, RF21, RF25, RF26, RNF02)</w:t>
            </w:r>
          </w:p>
        </w:tc>
      </w:tr>
      <w:tr>
        <w:trPr>
          <w:cantSplit/>
        </w:trPr>
        <w:tc>
          <w:tcPr>
            <w:tcW w:type="dxa" w:w="9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T06</w:t>
            </w:r>
          </w:p>
        </w:tc>
        <w:tc>
          <w:tcPr>
            <w:tcW w:type="dxa" w:w="14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Kauã</w:t>
            </w:r>
          </w:p>
        </w:tc>
        <w:tc>
          <w:tcPr>
            <w:tcW w:type="dxa" w:w="38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US-015, US-021, US-027</w:t>
            </w:r>
          </w:p>
        </w:tc>
        <w:tc>
          <w:tcPr>
            <w:tcW w:type="dxa" w:w="2971"/>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RF11, RF18, RF23</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T07</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Henrique</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US-016, US-032, US-034</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RF12, RF28, RNF02</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Henrique</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US-017, US-018, US-019, US-020</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RF14, RF15, RF16, RF17</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T09</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Rhuan</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US-024, US-025</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RF21</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Henrique</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US-022, US-027</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RF19, RF23</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Rhuan</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US-023</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RF20</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US-003, US-004, US-036</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RF03, RF30</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US-005, US-006, US-007 (suporte US-011)</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RF04, RF05</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US-026</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RF22</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T15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David</w:t>
            </w:r>
          </w:p>
        </w:tc>
        <w:tc>
          <w:tcPr>
            <w:tcW w:type="dxa" w:w="3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US-028</w:t>
            </w:r>
          </w:p>
        </w:tc>
        <w:tc>
          <w:tcPr>
            <w:tcW w:type="dxa" w:w="2971"/>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sz w:val="19"/>
                <w:szCs w:val="19"/>
              </w:rPr>
              <w:t xml:space="preserve">RF24</w:t>
            </w:r>
          </w:p>
        </w:tc>
      </w:tr>
      <w:tr>
        <w:trPr>
          <w:cantSplit/>
        </w:trPr>
        <w:tc>
          <w:tcPr>
            <w:tcW w:type="dxa" w:w="9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T16</w:t>
            </w:r>
          </w:p>
        </w:tc>
        <w:tc>
          <w:tcPr>
            <w:tcW w:type="dxa" w:w="14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Kauã</w:t>
            </w:r>
          </w:p>
        </w:tc>
        <w:tc>
          <w:tcPr>
            <w:tcW w:type="dxa" w:w="38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US-031</w:t>
            </w:r>
          </w:p>
        </w:tc>
        <w:tc>
          <w:tcPr>
            <w:tcW w:type="dxa" w:w="2971"/>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RF27</w:t>
            </w:r>
          </w:p>
        </w:tc>
      </w:tr>
      <w:tr>
        <w:trPr>
          <w:cantSplit/>
        </w:trPr>
        <w:tc>
          <w:tcPr>
            <w:tcW w:type="dxa" w:w="9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T17</w:t>
            </w:r>
          </w:p>
        </w:tc>
        <w:tc>
          <w:tcPr>
            <w:tcW w:type="dxa" w:w="14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Kauã</w:t>
            </w:r>
          </w:p>
        </w:tc>
        <w:tc>
          <w:tcPr>
            <w:tcW w:type="dxa" w:w="3800"/>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US-033, US-035</w:t>
            </w:r>
          </w:p>
        </w:tc>
        <w:tc>
          <w:tcPr>
            <w:tcW w:type="dxa" w:w="2971"/>
            <w:tcBorders>
              <w:top w:val="single" w:color="999999" w:sz="4"/>
              <w:left w:val="single" w:color="999999" w:sz="4"/>
              <w:bottom w:val="single" w:color="999999" w:sz="4"/>
              <w:right w:val="single" w:color="999999" w:sz="4"/>
            </w:tcBorders>
            <w:shd w:fill="FDEBD0" w:val="clear"/>
            <w:tcMar>
              <w:top w:type="dxa" w:w="80"/>
              <w:left w:type="dxa" w:w="100"/>
              <w:bottom w:type="dxa" w:w="80"/>
              <w:right w:type="dxa" w:w="100"/>
            </w:tcMar>
            <w:vAlign w:val="center"/>
          </w:tcPr>
          <w:p>
            <w:pPr>
              <w:spacing w:after="0" w:line="240"/>
              <w:jc w:val="left"/>
            </w:pPr>
            <w:r>
              <w:rPr>
                <w:rFonts w:ascii="Arial" w:cs="Arial" w:eastAsia="Arial" w:hAnsi="Arial"/>
                <w:b/>
                <w:bCs/>
                <w:sz w:val="19"/>
                <w:szCs w:val="19"/>
              </w:rPr>
              <w:t xml:space="preserve">RF29, RNF01 (RNF03 transversal)</w:t>
            </w:r>
          </w:p>
        </w:tc>
      </w:tr>
    </w:tbl>
    <w:p>
      <w:pPr>
        <w:spacing w:after="0"/>
      </w:pPr>
    </w:p>
    <w:p>
      <w:pPr>
        <w:spacing w:after="80" w:before="200" w:line="240"/>
        <w:jc w:val="center"/>
      </w:pPr>
      <w:r>
        <w:rPr>
          <w:rFonts w:ascii="Arial" w:cs="Arial" w:eastAsia="Arial" w:hAnsi="Arial"/>
          <w:b w:val="false"/>
          <w:bCs w:val="false"/>
          <w:sz w:val="20"/>
          <w:szCs w:val="20"/>
        </w:rPr>
        <w:t xml:space="preserve">Quadro 5 — Rastreabilidade completa Tela → US → RF/RNF (T01–T17)</w:t>
      </w:r>
    </w:p>
    <w:p>
      <w:pPr>
        <w:spacing w:after="280" w:before="80" w:line="240"/>
        <w:jc w:val="center"/>
      </w:pPr>
      <w:r>
        <w:rPr>
          <w:rFonts w:ascii="Arial" w:cs="Arial" w:eastAsia="Arial" w:hAnsi="Arial"/>
          <w:sz w:val="20"/>
          <w:szCs w:val="20"/>
        </w:rPr>
        <w:t xml:space="preserve">Fonte: elaboração própria (2026), a partir de docs/03_INFORMATION_ARCHITECTURE/TRACEABILITY_MATRIX.md (GitHub webkauadev/rede-de-apoio, branch main).</w:t>
      </w:r>
    </w:p>
    <w:p>
      <w:pPr>
        <w:spacing w:after="200" w:before="360" w:line="360"/>
        <w:jc w:val="left"/>
      </w:pPr>
      <w:r>
        <w:rPr>
          <w:rFonts w:ascii="Arial" w:cs="Arial" w:eastAsia="Arial" w:hAnsi="Arial"/>
          <w:b/>
          <w:bCs/>
          <w:sz w:val="24"/>
          <w:szCs w:val="24"/>
        </w:rPr>
        <w:t xml:space="preserve">3.2 C2 — Wireframes de média fidelidade</w:t>
      </w:r>
    </w:p>
    <w:p>
      <w:pPr>
        <w:spacing w:after="200" w:before="0" w:line="360"/>
        <w:ind w:firstLine="709"/>
        <w:jc w:val="both"/>
      </w:pPr>
      <w:r>
        <w:rPr>
          <w:rFonts w:ascii="Arial" w:cs="Arial" w:eastAsia="Arial" w:hAnsi="Arial"/>
          <w:i w:val="false"/>
          <w:iCs w:val="false"/>
          <w:sz w:val="24"/>
          <w:szCs w:val="24"/>
        </w:rPr>
        <w:t xml:space="preserve">A atividade exige duas telas do projeto em média fidelidade — uma de listagem e uma de formulário. O par escolhido corresponde à tela T06 (Diário de Cuidados), de responsabilidade do autor: a listagem de registros de cuidado e o formulário de “Novo registro”, que no protótipo canônico é implementado como um Bottom Sheet, seguindo a arquitetura PAGE BASE + SCRIM + BOTTOM SHEET aprovada para o cadastro operacional contextual do projeto. As duas telas possuem relação navegacional direta — a ação principal da listagem abre o formulário —, o que facilita a modelagem do IFML apresentada na seção 3.4.</w:t>
      </w:r>
    </w:p>
    <w:p>
      <w:pPr>
        <w:spacing w:after="200" w:before="0" w:line="360"/>
        <w:ind w:firstLine="709"/>
        <w:jc w:val="both"/>
      </w:pPr>
      <w:r>
        <w:rPr>
          <w:rFonts w:ascii="Arial" w:cs="Arial" w:eastAsia="Arial" w:hAnsi="Arial"/>
          <w:i w:val="false"/>
          <w:iCs w:val="false"/>
          <w:sz w:val="24"/>
          <w:szCs w:val="24"/>
        </w:rPr>
        <w:t xml:space="preserve">As telas de alta fidelidade aprovadas no Fluxo Final do Figma não foram substituídas nem alteradas. Como a atividade exige explicitamente representações em média fidelidade, e o protótipo canônico do projeto está em alta fidelidade (Material Design 3), as duas imagens a seguir são representações derivadas, produzidas exclusivamente para esta atividade acadêmica, em acabamento neutro (tons de cinza, caixas e tipografia simples). A derivação preserva integralmente a estrutura, o conteúdo textual, a hierarquia, os campos, a navegação e a regra funcional das telas canônicas correspondentes, sem adicionar, remover ou renomear qualquer elemento, campo ou ação.</w:t>
      </w:r>
    </w:p>
    <w:p>
      <w:pPr>
        <w:spacing w:after="0" w:before="200"/>
        <w:jc w:val="center"/>
      </w:pPr>
      <w:r>
        <w:drawing>
          <wp:inline distT="0" distB="0" distL="0" distR="0">
            <wp:extent cx="2733675"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5924550"/>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3 — Wireframe de média fidelidade — T06, Diário de Cuidados (listagem)</w:t>
      </w:r>
    </w:p>
    <w:p>
      <w:pPr>
        <w:spacing w:after="280" w:before="80" w:line="240"/>
        <w:jc w:val="center"/>
      </w:pPr>
      <w:r>
        <w:rPr>
          <w:rFonts w:ascii="Arial" w:cs="Arial" w:eastAsia="Arial" w:hAnsi="Arial"/>
          <w:sz w:val="20"/>
          <w:szCs w:val="20"/>
        </w:rPr>
        <w:t xml:space="preserve">Fonte: elaboração própria (2026).</w:t>
      </w:r>
    </w:p>
    <w:p>
      <w:pPr>
        <w:spacing w:after="0" w:before="200"/>
        <w:jc w:val="center"/>
      </w:pPr>
      <w:r>
        <w:drawing>
          <wp:inline distT="0" distB="0" distL="0" distR="0">
            <wp:extent cx="2733675"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33675" cy="5924550"/>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4 — Wireframe de média fidelidade — T06, Novo Registro de Cuidado (formulário, Bottom Sheet)</w:t>
      </w:r>
    </w:p>
    <w:p>
      <w:pPr>
        <w:spacing w:after="280" w:before="80" w:line="240"/>
        <w:jc w:val="center"/>
      </w:pPr>
      <w:r>
        <w:rPr>
          <w:rFonts w:ascii="Arial" w:cs="Arial" w:eastAsia="Arial" w:hAnsi="Arial"/>
          <w:sz w:val="20"/>
          <w:szCs w:val="20"/>
        </w:rPr>
        <w:t xml:space="preserve">Fonte: elaboração própria (2026).</w:t>
      </w:r>
    </w:p>
    <w:p>
      <w:pPr>
        <w:spacing w:after="200" w:before="0" w:line="360"/>
        <w:ind w:firstLine="709"/>
        <w:jc w:val="both"/>
      </w:pPr>
      <w:r>
        <w:rPr>
          <w:rFonts w:ascii="Arial" w:cs="Arial" w:eastAsia="Arial" w:hAnsi="Arial"/>
          <w:i w:val="false"/>
          <w:iCs w:val="false"/>
          <w:sz w:val="24"/>
          <w:szCs w:val="24"/>
        </w:rPr>
        <w:t xml:space="preserve">As duas telas reaproveitam, no mínimo, dois componentes reutilizáveis do projeto, evidenciados nas Figuras 3 e 4: o componente de card de registro (“Card de registro”), reutilizado em cada item da listagem de cuidados, e o componente de campo de formulário (“Campo de formulário”), reutilizado nos quatro campos do Bottom Sheet — Categoria, Descrição, Data e Hora. O botão primário (“Botão primário”) também é reaproveitado entre a ação “+ Novo Registro” da listagem e a ação “Salvar registro” do formulário, reforçando a hierarquia visual da ação principal em destaque em ambas as telas.</w:t>
      </w:r>
    </w:p>
    <w:p>
      <w:pPr>
        <w:spacing w:after="200" w:before="360" w:line="360"/>
        <w:jc w:val="left"/>
      </w:pPr>
      <w:r>
        <w:rPr>
          <w:rFonts w:ascii="Arial" w:cs="Arial" w:eastAsia="Arial" w:hAnsi="Arial"/>
          <w:b/>
          <w:bCs/>
          <w:sz w:val="24"/>
          <w:szCs w:val="24"/>
        </w:rPr>
        <w:t xml:space="preserve">3.3 Estado de exceção</w:t>
      </w:r>
    </w:p>
    <w:p>
      <w:pPr>
        <w:spacing w:after="200" w:before="0" w:line="360"/>
        <w:ind w:firstLine="709"/>
        <w:jc w:val="both"/>
      </w:pPr>
      <w:r>
        <w:rPr>
          <w:rFonts w:ascii="Arial" w:cs="Arial" w:eastAsia="Arial" w:hAnsi="Arial"/>
          <w:i w:val="false"/>
          <w:iCs w:val="false"/>
          <w:sz w:val="24"/>
          <w:szCs w:val="24"/>
        </w:rPr>
        <w:t xml:space="preserve">O estado de exceção apresentado é o de validação (Validation Error) do Bottom Sheet “Novo registro” de T06, estado canônico do protótipo do projeto. Ele é acionado quando o usuário tenta salvar o registro de cuidado sem preencher o campo obrigatório “Descrição”: o campo é destacado com contorno de erro e passa a exibir a mensagem “Descreva o que aconteceu.” logo abaixo, enquanto os demais campos já preenchidos (Categoria, Data e Hora) permanecem com os valores informados pelo usuário. Formalmente, esse estado fornece feedback de validação imediato e contextualizado ao campo específico que impede o envio, prevenindo o envio de um registro de cuidado inválido ou incompleto e evitando que o usuário perca os demais dados já preenchidos no formulário ao corrigir o campo pendente.</w:t>
      </w:r>
    </w:p>
    <w:p>
      <w:pPr>
        <w:spacing w:after="0" w:before="200"/>
        <w:jc w:val="center"/>
      </w:pPr>
      <w:r>
        <w:drawing>
          <wp:inline distT="0" distB="0" distL="0" distR="0">
            <wp:extent cx="2733675"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5924550"/>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5 — Estado de exceção — T06, Novo Registro de Cuidado, Validation Error</w:t>
      </w:r>
    </w:p>
    <w:p>
      <w:pPr>
        <w:spacing w:after="280" w:before="80" w:line="240"/>
        <w:jc w:val="center"/>
      </w:pPr>
      <w:r>
        <w:rPr>
          <w:rFonts w:ascii="Arial" w:cs="Arial" w:eastAsia="Arial" w:hAnsi="Arial"/>
          <w:sz w:val="20"/>
          <w:szCs w:val="20"/>
        </w:rPr>
        <w:t xml:space="preserve">Fonte: elaboração própria (2026).</w:t>
      </w:r>
    </w:p>
    <w:p>
      <w:pPr>
        <w:spacing w:after="200" w:before="360" w:line="360"/>
        <w:jc w:val="left"/>
      </w:pPr>
      <w:r>
        <w:rPr>
          <w:rFonts w:ascii="Arial" w:cs="Arial" w:eastAsia="Arial" w:hAnsi="Arial"/>
          <w:b/>
          <w:bCs/>
          <w:sz w:val="24"/>
          <w:szCs w:val="24"/>
        </w:rPr>
        <w:t xml:space="preserve">3.4 C3 — Modelo IFML</w:t>
      </w:r>
    </w:p>
    <w:p>
      <w:pPr>
        <w:spacing w:after="200" w:before="0" w:line="360"/>
        <w:ind w:firstLine="709"/>
        <w:jc w:val="both"/>
      </w:pPr>
      <w:r>
        <w:rPr>
          <w:rFonts w:ascii="Arial" w:cs="Arial" w:eastAsia="Arial" w:hAnsi="Arial"/>
          <w:i w:val="false"/>
          <w:iCs w:val="false"/>
          <w:sz w:val="24"/>
          <w:szCs w:val="24"/>
        </w:rPr>
        <w:t xml:space="preserve">O modelo a seguir representa, em notação IFML simplificada, a navegação entre as duas telas escolhidas em C2: a listagem T06 — Diário de Cuidados e o formulário T06 — Novo Registro de Cuidado. São representados os dois ViewContainers (as páginas), os ViewComponents de cada página (elementos de visão), o Event que dispara a navegação, o NavigationFlow entre as páginas e o ParameterBinding dos dados transferidos entre elas. Apenas o comportamento já existente e aprovado do protótipo do projeto foi representado; nenhum fluxo, tela ou parâmetro foi inventado para enriquecer o diagrama.</w:t>
      </w:r>
    </w:p>
    <w:p>
      <w:pPr>
        <w:spacing w:after="0" w:before="200"/>
        <w:jc w:val="center"/>
      </w:pPr>
      <w:r>
        <w:drawing>
          <wp:inline distT="0" distB="0" distL="0" distR="0">
            <wp:extent cx="5762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114675"/>
                    </a:xfrm>
                    <a:prstGeom prst="rect">
                      <a:avLst/>
                    </a:prstGeom>
                  </pic:spPr>
                </pic:pic>
              </a:graphicData>
            </a:graphic>
          </wp:inline>
        </w:drawing>
      </w:r>
    </w:p>
    <w:p>
      <w:pPr>
        <w:spacing w:after="80" w:before="200" w:line="240"/>
        <w:jc w:val="center"/>
      </w:pPr>
      <w:r>
        <w:rPr>
          <w:rFonts w:ascii="Arial" w:cs="Arial" w:eastAsia="Arial" w:hAnsi="Arial"/>
          <w:b w:val="false"/>
          <w:bCs w:val="false"/>
          <w:sz w:val="20"/>
          <w:szCs w:val="20"/>
        </w:rPr>
        <w:t xml:space="preserve">Figura 6 — Modelo IFML — T06, Diário de Cuidados → Novo Registro de Cuidado</w:t>
      </w:r>
    </w:p>
    <w:p>
      <w:pPr>
        <w:spacing w:after="280" w:before="80" w:line="240"/>
        <w:jc w:val="center"/>
      </w:pPr>
      <w:r>
        <w:rPr>
          <w:rFonts w:ascii="Arial" w:cs="Arial" w:eastAsia="Arial" w:hAnsi="Arial"/>
          <w:sz w:val="20"/>
          <w:szCs w:val="20"/>
        </w:rPr>
        <w:t xml:space="preserve">Fonte: elaboração própria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rPr>
        <w:tc>
          <w:tcPr>
            <w:tcW w:type="dxa" w:w="2200"/>
            <w:tcBorders>
              <w:top w:val="single" w:color="999999" w:sz="4"/>
              <w:left w:val="single" w:color="999999" w:sz="4"/>
              <w:bottom w:val="single" w:color="999999" w:sz="4"/>
              <w:right w:val="single" w:color="999999" w:sz="4"/>
            </w:tcBorders>
            <w:shd w:fill="E4E4E6" w:val="clear"/>
            <w:tcMar>
              <w:top w:type="dxa" w:w="100"/>
              <w:left w:type="dxa" w:w="120"/>
              <w:bottom w:type="dxa" w:w="100"/>
              <w:right w:type="dxa" w:w="120"/>
            </w:tcMar>
          </w:tcPr>
          <w:p>
            <w:r>
              <w:rPr>
                <w:rFonts w:ascii="Arial" w:cs="Arial" w:eastAsia="Arial" w:hAnsi="Arial"/>
                <w:b/>
                <w:bCs/>
                <w:sz w:val="20"/>
                <w:szCs w:val="20"/>
              </w:rPr>
              <w:t xml:space="preserve">ENTRADA</w:t>
            </w:r>
          </w:p>
        </w:tc>
        <w:tc>
          <w:tcPr>
            <w:tcW w:type="dxa" w:w="6871"/>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both"/>
            </w:pPr>
            <w:r>
              <w:rPr>
                <w:rFonts w:ascii="Arial" w:cs="Arial" w:eastAsia="Arial" w:hAnsi="Arial"/>
                <w:i w:val="false"/>
                <w:iCs w:val="false"/>
                <w:sz w:val="20"/>
                <w:szCs w:val="20"/>
              </w:rPr>
              <w:t xml:space="preserve">Tela inicial: T06 — Diário de Cuidados (ViewContainer), com os ViewComponents “Lista de registros de hoje” e ação “+ Novo Registro”.</w:t>
            </w:r>
          </w:p>
        </w:tc>
      </w:tr>
      <w:tr>
        <w:trPr>
          <w:cantSplit/>
        </w:trPr>
        <w:tc>
          <w:tcPr>
            <w:tcW w:type="dxa" w:w="2200"/>
            <w:tcBorders>
              <w:top w:val="single" w:color="999999" w:sz="4"/>
              <w:left w:val="single" w:color="999999" w:sz="4"/>
              <w:bottom w:val="single" w:color="999999" w:sz="4"/>
              <w:right w:val="single" w:color="999999" w:sz="4"/>
            </w:tcBorders>
            <w:shd w:fill="E4E4E6" w:val="clear"/>
            <w:tcMar>
              <w:top w:type="dxa" w:w="100"/>
              <w:left w:type="dxa" w:w="120"/>
              <w:bottom w:type="dxa" w:w="100"/>
              <w:right w:type="dxa" w:w="120"/>
            </w:tcMar>
          </w:tcPr>
          <w:p>
            <w:r>
              <w:rPr>
                <w:rFonts w:ascii="Arial" w:cs="Arial" w:eastAsia="Arial" w:hAnsi="Arial"/>
                <w:b/>
                <w:bCs/>
                <w:sz w:val="20"/>
                <w:szCs w:val="20"/>
              </w:rPr>
              <w:t xml:space="preserve">EVENTO</w:t>
            </w:r>
          </w:p>
        </w:tc>
        <w:tc>
          <w:tcPr>
            <w:tcW w:type="dxa" w:w="6871"/>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both"/>
            </w:pPr>
            <w:r>
              <w:rPr>
                <w:rFonts w:ascii="Arial" w:cs="Arial" w:eastAsia="Arial" w:hAnsi="Arial"/>
                <w:i w:val="false"/>
                <w:iCs w:val="false"/>
                <w:sz w:val="20"/>
                <w:szCs w:val="20"/>
              </w:rPr>
              <w:t xml:space="preserve">Ação executada: o usuário aciona o ViewComponent de ação “+ Novo Registro” (Event).</w:t>
            </w:r>
          </w:p>
        </w:tc>
      </w:tr>
      <w:tr>
        <w:trPr>
          <w:cantSplit/>
        </w:trPr>
        <w:tc>
          <w:tcPr>
            <w:tcW w:type="dxa" w:w="2200"/>
            <w:tcBorders>
              <w:top w:val="single" w:color="999999" w:sz="4"/>
              <w:left w:val="single" w:color="999999" w:sz="4"/>
              <w:bottom w:val="single" w:color="999999" w:sz="4"/>
              <w:right w:val="single" w:color="999999" w:sz="4"/>
            </w:tcBorders>
            <w:shd w:fill="E4E4E6" w:val="clear"/>
            <w:tcMar>
              <w:top w:type="dxa" w:w="100"/>
              <w:left w:type="dxa" w:w="120"/>
              <w:bottom w:type="dxa" w:w="100"/>
              <w:right w:type="dxa" w:w="120"/>
            </w:tcMar>
          </w:tcPr>
          <w:p>
            <w:r>
              <w:rPr>
                <w:rFonts w:ascii="Arial" w:cs="Arial" w:eastAsia="Arial" w:hAnsi="Arial"/>
                <w:b/>
                <w:bCs/>
                <w:sz w:val="20"/>
                <w:szCs w:val="20"/>
              </w:rPr>
              <w:t xml:space="preserve">DESTINO</w:t>
            </w:r>
          </w:p>
        </w:tc>
        <w:tc>
          <w:tcPr>
            <w:tcW w:type="dxa" w:w="6871"/>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both"/>
            </w:pPr>
            <w:r>
              <w:rPr>
                <w:rFonts w:ascii="Arial" w:cs="Arial" w:eastAsia="Arial" w:hAnsi="Arial"/>
                <w:i w:val="false"/>
                <w:iCs w:val="false"/>
                <w:sz w:val="20"/>
                <w:szCs w:val="20"/>
              </w:rPr>
              <w:t xml:space="preserve">Segunda tela/estado: T06 — Novo Registro de Cuidado (ViewContainer, Bottom Sheet sobre a página base com scrim), com os ViewComponents de formulário “Categoria, Descrição, Data, Hora” e as ações “Salvar registro” e “Cancelar”.</w:t>
            </w:r>
          </w:p>
        </w:tc>
      </w:tr>
      <w:tr>
        <w:trPr>
          <w:cantSplit/>
        </w:trPr>
        <w:tc>
          <w:tcPr>
            <w:tcW w:type="dxa" w:w="2200"/>
            <w:tcBorders>
              <w:top w:val="single" w:color="999999" w:sz="4"/>
              <w:left w:val="single" w:color="999999" w:sz="4"/>
              <w:bottom w:val="single" w:color="999999" w:sz="4"/>
              <w:right w:val="single" w:color="999999" w:sz="4"/>
            </w:tcBorders>
            <w:shd w:fill="E4E4E6" w:val="clear"/>
            <w:tcMar>
              <w:top w:type="dxa" w:w="100"/>
              <w:left w:type="dxa" w:w="120"/>
              <w:bottom w:type="dxa" w:w="100"/>
              <w:right w:type="dxa" w:w="120"/>
            </w:tcMar>
          </w:tcPr>
          <w:p>
            <w:r>
              <w:rPr>
                <w:rFonts w:ascii="Arial" w:cs="Arial" w:eastAsia="Arial" w:hAnsi="Arial"/>
                <w:b/>
                <w:bCs/>
                <w:sz w:val="20"/>
                <w:szCs w:val="20"/>
              </w:rPr>
              <w:t xml:space="preserve">PARÂMETROS</w:t>
            </w:r>
          </w:p>
        </w:tc>
        <w:tc>
          <w:tcPr>
            <w:tcW w:type="dxa" w:w="6871"/>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both"/>
            </w:pPr>
            <w:r>
              <w:rPr>
                <w:rFonts w:ascii="Arial" w:cs="Arial" w:eastAsia="Arial" w:hAnsi="Arial"/>
                <w:i w:val="false"/>
                <w:iCs w:val="false"/>
                <w:sz w:val="20"/>
                <w:szCs w:val="20"/>
              </w:rPr>
              <w:t xml:space="preserve">Dados transferidos: no NavigationFlow de ida, o contexto da Pessoa Idosa ativa (ParameterBinding) é vinculado ao formulário; no retorno, acionado pelo Event “Salvar registro”, o registro criado (categoria, horário, descrição e autor) é vinculado, por ParameterBinding, de volta à lista de T06.</w:t>
            </w:r>
          </w:p>
        </w:tc>
      </w:tr>
    </w:tbl>
    <w:p>
      <w:pPr>
        <w:spacing w:after="0"/>
      </w:pPr>
    </w:p>
    <w:p>
      <w:pPr>
        <w:spacing w:after="80" w:before="200" w:line="240"/>
        <w:jc w:val="center"/>
      </w:pPr>
      <w:r>
        <w:rPr>
          <w:rFonts w:ascii="Arial" w:cs="Arial" w:eastAsia="Arial" w:hAnsi="Arial"/>
          <w:b w:val="false"/>
          <w:bCs w:val="false"/>
          <w:sz w:val="20"/>
          <w:szCs w:val="20"/>
        </w:rPr>
        <w:t xml:space="preserve">Quadro 6 — Elementos do fluxo IFML — T06, Diário de Cuidados → Novo Registro de Cuidado</w:t>
      </w:r>
    </w:p>
    <w:p>
      <w:pPr>
        <w:spacing w:after="280" w:before="80" w:line="240"/>
        <w:jc w:val="center"/>
      </w:pPr>
      <w:r>
        <w:rPr>
          <w:rFonts w:ascii="Arial" w:cs="Arial" w:eastAsia="Arial" w:hAnsi="Arial"/>
          <w:sz w:val="20"/>
          <w:szCs w:val="20"/>
        </w:rPr>
        <w:t xml:space="preserve">Fonte: elaboração própria (2026).</w:t>
      </w:r>
    </w:p>
    <w:p>
      <w:pPr>
        <w:spacing w:after="200" w:before="360" w:line="360"/>
        <w:jc w:val="left"/>
      </w:pPr>
      <w:r>
        <w:rPr>
          <w:rFonts w:ascii="Arial" w:cs="Arial" w:eastAsia="Arial" w:hAnsi="Arial"/>
          <w:b/>
          <w:bCs/>
          <w:sz w:val="24"/>
          <w:szCs w:val="24"/>
        </w:rPr>
        <w:t xml:space="preserve">3.5 Link para o protótipo e documentação no Figma</w:t>
      </w:r>
    </w:p>
    <w:p>
      <w:pPr>
        <w:spacing w:after="120" w:before="0" w:line="360"/>
        <w:ind w:firstLine="709"/>
        <w:jc w:val="both"/>
      </w:pPr>
      <w:r>
        <w:rPr>
          <w:rFonts w:ascii="Arial" w:cs="Arial" w:eastAsia="Arial" w:hAnsi="Arial"/>
          <w:i w:val="false"/>
          <w:iCs w:val="false"/>
          <w:sz w:val="24"/>
          <w:szCs w:val="24"/>
        </w:rPr>
        <w:t xml:space="preserve">O protótipo e a documentação visual da entrega individual encontram-se disponíveis no Figma por meio do endereço eletrônico a seguir:</w:t>
      </w:r>
    </w:p>
    <w:p>
      <w:pPr>
        <w:spacing w:after="200" w:line="360"/>
        <w:jc w:val="center"/>
      </w:pPr>
      <w:hyperlink w:history="1" r:id="rId2cimnlwhfvllzr8ld405r">
        <w:r>
          <w:rPr>
            <w:rFonts w:ascii="Arial" w:cs="Arial" w:eastAsia="Arial" w:hAnsi="Arial"/>
            <w:color w:val="0563C1"/>
            <w:sz w:val="24"/>
            <w:szCs w:val="24"/>
            <w:u w:val="single"/>
          </w:rPr>
          <w:t xml:space="preserve">https://www.figma.com/design/tcyj2fkTXei2CJbqaRxqCp/Rede-de-Apoio?node-id=6080-6427</w:t>
        </w:r>
      </w:hyperlink>
    </w:p>
    <w:p>
      <w:pPr>
        <w:spacing w:after="200" w:before="0" w:line="360"/>
        <w:ind w:firstLine="709"/>
        <w:jc w:val="both"/>
      </w:pPr>
      <w:r>
        <w:rPr>
          <w:rFonts w:ascii="Arial" w:cs="Arial" w:eastAsia="Arial" w:hAnsi="Arial"/>
          <w:i w:val="false"/>
          <w:iCs w:val="false"/>
          <w:sz w:val="24"/>
          <w:szCs w:val="24"/>
        </w:rPr>
        <w:t xml:space="preserve">O endereço direciona à página individual “Kauã” do arquivo Figma (page ID 5054:211), organizada em cinco seções — identificação da entrega, Site Map, telas sob responsabilidade, estados e interações relevantes, e rastreabilidade —, já auditada quanto à ausência de telas legadas e à correção das relações Tela → US → RF/RNF exibidas.</w:t>
      </w:r>
    </w:p>
    <w:p>
      <w:pPr>
        <w:pageBreakBefore/>
        <w:spacing w:after="240" w:before="48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i w:val="false"/>
          <w:iCs w:val="false"/>
          <w:sz w:val="24"/>
          <w:szCs w:val="24"/>
        </w:rPr>
        <w:t xml:space="preserve">GARRETT, Jesse James. </w:t>
      </w:r>
      <w:r>
        <w:rPr>
          <w:rFonts w:ascii="Arial" w:cs="Arial" w:eastAsia="Arial" w:hAnsi="Arial"/>
          <w:b/>
          <w:bCs/>
          <w:i w:val="false"/>
          <w:iCs w:val="false"/>
          <w:sz w:val="24"/>
          <w:szCs w:val="24"/>
        </w:rPr>
        <w:t xml:space="preserve">The elements of user experience</w:t>
      </w:r>
      <w:r>
        <w:rPr>
          <w:rFonts w:ascii="Arial" w:cs="Arial" w:eastAsia="Arial" w:hAnsi="Arial"/>
          <w:i w:val="false"/>
          <w:iCs w:val="false"/>
          <w:sz w:val="24"/>
          <w:szCs w:val="24"/>
        </w:rPr>
        <w:t xml:space="preserve">: user-centered design for the Web and beyond. 2. ed. Berkeley: New Riders, 2011.</w:t>
      </w:r>
    </w:p>
    <w:p>
      <w:pPr>
        <w:spacing w:after="240" w:line="240"/>
        <w:jc w:val="left"/>
      </w:pPr>
      <w:r>
        <w:rPr>
          <w:rFonts w:ascii="Arial" w:cs="Arial" w:eastAsia="Arial" w:hAnsi="Arial"/>
          <w:i w:val="false"/>
          <w:iCs w:val="false"/>
          <w:sz w:val="24"/>
          <w:szCs w:val="24"/>
        </w:rPr>
        <w:t xml:space="preserve">KRUG, Steve. </w:t>
      </w:r>
      <w:r>
        <w:rPr>
          <w:rFonts w:ascii="Arial" w:cs="Arial" w:eastAsia="Arial" w:hAnsi="Arial"/>
          <w:b/>
          <w:bCs/>
          <w:i w:val="false"/>
          <w:iCs w:val="false"/>
          <w:sz w:val="24"/>
          <w:szCs w:val="24"/>
        </w:rPr>
        <w:t xml:space="preserve">Don't make me think, revisited</w:t>
      </w:r>
      <w:r>
        <w:rPr>
          <w:rFonts w:ascii="Arial" w:cs="Arial" w:eastAsia="Arial" w:hAnsi="Arial"/>
          <w:i w:val="false"/>
          <w:iCs w:val="false"/>
          <w:sz w:val="24"/>
          <w:szCs w:val="24"/>
        </w:rPr>
        <w:t xml:space="preserve">: a common sense approach to Web usability. 3. ed. Berkeley: New Riders, 2014.</w:t>
      </w:r>
    </w:p>
    <w:p>
      <w:pPr>
        <w:spacing w:after="240" w:line="240"/>
        <w:jc w:val="left"/>
      </w:pPr>
      <w:r>
        <w:rPr>
          <w:rFonts w:ascii="Arial" w:cs="Arial" w:eastAsia="Arial" w:hAnsi="Arial"/>
          <w:i w:val="false"/>
          <w:iCs w:val="false"/>
          <w:sz w:val="24"/>
          <w:szCs w:val="24"/>
        </w:rPr>
        <w:t xml:space="preserve">NIELSEN, Jakob. </w:t>
      </w:r>
      <w:r>
        <w:rPr>
          <w:rFonts w:ascii="Arial" w:cs="Arial" w:eastAsia="Arial" w:hAnsi="Arial"/>
          <w:b/>
          <w:bCs/>
          <w:i w:val="false"/>
          <w:iCs w:val="false"/>
          <w:sz w:val="24"/>
          <w:szCs w:val="24"/>
        </w:rPr>
        <w:t xml:space="preserve">10 usability heuristics for user interface design</w:t>
      </w:r>
      <w:r>
        <w:rPr>
          <w:rFonts w:ascii="Arial" w:cs="Arial" w:eastAsia="Arial" w:hAnsi="Arial"/>
          <w:i w:val="false"/>
          <w:iCs w:val="false"/>
          <w:sz w:val="24"/>
          <w:szCs w:val="24"/>
        </w:rPr>
        <w:t xml:space="preserve">. [S. l.]: Nielsen Norman Group, 1994. Disponível em: </w:t>
      </w:r>
      <w:hyperlink w:history="1" r:id="rIdza29gfu_mswq0ma6uvyyx">
        <w:r>
          <w:rPr>
            <w:rFonts w:ascii="Arial" w:cs="Arial" w:eastAsia="Arial" w:hAnsi="Arial"/>
            <w:color w:val="0563C1"/>
            <w:sz w:val="24"/>
            <w:szCs w:val="24"/>
            <w:u w:val="single"/>
          </w:rPr>
          <w:t xml:space="preserve">https://www.nngroup.com/articles/ten-usability-heuristics/</w:t>
        </w:r>
      </w:hyperlink>
      <w:r>
        <w:rPr>
          <w:rFonts w:ascii="Arial" w:cs="Arial" w:eastAsia="Arial" w:hAnsi="Arial"/>
          <w:sz w:val="24"/>
          <w:szCs w:val="24"/>
        </w:rPr>
        <w:t xml:space="preserve">. Acesso em: 16 set. 2026.</w:t>
      </w:r>
    </w:p>
    <w:p>
      <w:pPr>
        <w:spacing w:after="240" w:line="240"/>
        <w:jc w:val="left"/>
      </w:pPr>
      <w:r>
        <w:rPr>
          <w:rFonts w:ascii="Arial" w:cs="Arial" w:eastAsia="Arial" w:hAnsi="Arial"/>
          <w:i w:val="false"/>
          <w:iCs w:val="false"/>
          <w:sz w:val="24"/>
          <w:szCs w:val="24"/>
        </w:rPr>
        <w:t xml:space="preserve">ROSENFELD, Louis; MORVILLE, Peter; ARANGO, Jorge. </w:t>
      </w:r>
      <w:r>
        <w:rPr>
          <w:rFonts w:ascii="Arial" w:cs="Arial" w:eastAsia="Arial" w:hAnsi="Arial"/>
          <w:b/>
          <w:bCs/>
          <w:i w:val="false"/>
          <w:iCs w:val="false"/>
          <w:sz w:val="24"/>
          <w:szCs w:val="24"/>
        </w:rPr>
        <w:t xml:space="preserve">Information architecture</w:t>
      </w:r>
      <w:r>
        <w:rPr>
          <w:rFonts w:ascii="Arial" w:cs="Arial" w:eastAsia="Arial" w:hAnsi="Arial"/>
          <w:i w:val="false"/>
          <w:iCs w:val="false"/>
          <w:sz w:val="24"/>
          <w:szCs w:val="24"/>
        </w:rPr>
        <w:t xml:space="preserve">: for the Web and beyond. 4. ed. Sebastopol: O'Reilly Media, 2015.</w:t>
      </w:r>
    </w:p>
    <w:sectPr>
      <w:headerReference w:type="default" r:id="rId7"/>
      <w:pgSz w:w="11906" w:h="16838" w:orient="portrait"/>
      <w:pgMar w:top="1701" w:right="1134" w:bottom="1134" w:left="1701" w:header="709"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2cimnlwhfvllzr8ld405r" Type="http://schemas.openxmlformats.org/officeDocument/2006/relationships/hyperlink" Target="https://www.figma.com/design/tcyj2fkTXei2CJbqaRxqCp/Rede-de-Apoio?node-id=6080-6427" TargetMode="External"/><Relationship Id="rIdza29gfu_mswq0ma6uvyyx" Type="http://schemas.openxmlformats.org/officeDocument/2006/relationships/hyperlink" Target="https://www.nngroup.com/articles/ten-usability-heuristics/" TargetMode="External"/><Relationship Id="rId8" Type="http://schemas.openxmlformats.org/officeDocument/2006/relationships/image" Target="media/5eb1928c8b916582d0151f0af739303a9b962dd6.png"/><Relationship Id="rId9" Type="http://schemas.openxmlformats.org/officeDocument/2006/relationships/image" Target="media/b8fc5e6b68d8ae32e247a6685a4ef07bf196d3ee.png"/><Relationship Id="rId10" Type="http://schemas.openxmlformats.org/officeDocument/2006/relationships/image" Target="media/e59e54659748c3d0afd62b0f7194bfe34bedc28b.png"/><Relationship Id="rId11" Type="http://schemas.openxmlformats.org/officeDocument/2006/relationships/image" Target="media/f6cca53d130df02ecc0fff4b25c1989b8ec53008.png"/><Relationship Id="rId12" Type="http://schemas.openxmlformats.org/officeDocument/2006/relationships/image" Target="media/d39dd3c4c2fb2123845e1cef21138d6765255346.png"/><Relationship Id="rId13" Type="http://schemas.openxmlformats.org/officeDocument/2006/relationships/image" Target="media/dadf5eb74f8a24fa20e77edc1d74dab313f6593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ES-03 — Prototipação, Site Map e IFML</dc:title>
  <dc:creator>Kauã da Silva Fernandes</dc:creator>
  <dc:description>Entrega individual — ES-03</dc:description>
  <cp:lastModifiedBy>Un-named</cp:lastModifiedBy>
  <cp:revision>1</cp:revision>
  <dcterms:created xsi:type="dcterms:W3CDTF">2026-09-17T04:27:21.555Z</dcterms:created>
  <dcterms:modified xsi:type="dcterms:W3CDTF">2026-09-17T04:27:21.556Z</dcterms:modified>
</cp:coreProperties>
</file>

<file path=docProps/custom.xml><?xml version="1.0" encoding="utf-8"?>
<Properties xmlns="http://schemas.openxmlformats.org/officeDocument/2006/custom-properties" xmlns:vt="http://schemas.openxmlformats.org/officeDocument/2006/docPropsVTypes"/>
</file>