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4747E" w:rsidRDefault="0080141E">
      <w:pPr>
        <w:pStyle w:val="normal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b/>
        </w:rPr>
        <w:t>TERM SHEET</w:t>
      </w:r>
    </w:p>
    <w:p w:rsidR="00B4747E" w:rsidRDefault="0080141E">
      <w:pPr>
        <w:pStyle w:val="normal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b/>
        </w:rPr>
        <w:t xml:space="preserve">for the </w:t>
      </w:r>
    </w:p>
    <w:p w:rsidR="00B4747E" w:rsidRDefault="0080141E">
      <w:pPr>
        <w:pStyle w:val="normal0"/>
        <w:spacing w:after="12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</w:rPr>
        <w:t>SynPat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Open Licensing Program</w:t>
      </w:r>
    </w:p>
    <w:p w:rsidR="00B4747E" w:rsidRDefault="0080141E">
      <w:pPr>
        <w:pStyle w:val="normal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b/>
          <w:i/>
        </w:rPr>
        <w:t>Non-Binding - subject to NDA</w:t>
      </w:r>
    </w:p>
    <w:p w:rsidR="00B4747E" w:rsidRDefault="00B4747E">
      <w:pPr>
        <w:pStyle w:val="normal0"/>
        <w:spacing w:after="120" w:line="240" w:lineRule="auto"/>
        <w:jc w:val="center"/>
      </w:pPr>
    </w:p>
    <w:p w:rsidR="00B4747E" w:rsidRDefault="0080141E">
      <w:pPr>
        <w:pStyle w:val="normal0"/>
        <w:spacing w:after="120" w:line="240" w:lineRule="auto"/>
        <w:jc w:val="center"/>
      </w:pPr>
      <w:r>
        <w:rPr>
          <w:rFonts w:ascii="Times New Roman" w:eastAsia="Times New Roman" w:hAnsi="Times New Roman" w:cs="Times New Roman"/>
        </w:rPr>
        <w:t>Acquisition of _Patents ___ Patents; _July___, 2015</w:t>
      </w:r>
    </w:p>
    <w:p w:rsidR="00B4747E" w:rsidRDefault="0080141E">
      <w:pPr>
        <w:pStyle w:val="normal0"/>
        <w:spacing w:after="120"/>
      </w:pPr>
      <w:r>
        <w:rPr>
          <w:rFonts w:ascii="Times New Roman" w:eastAsia="Times New Roman" w:hAnsi="Times New Roman" w:cs="Times New Roman"/>
        </w:rPr>
        <w:t>The purpose of this non-binding Term Sheet is to facilitate discussions between Syndicated Patent Acquisitions Corp. (“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 xml:space="preserve">”) and ____EDWIN A HERNANDEZ__ (“Seller”) concerning the possible acquisition of certain of Seller’s patents by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 xml:space="preserve">. A binding purchase commitment can only result from the execution of a mutually satisfactory Patent Purchase Agreement (“PPA”) between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 xml:space="preserve"> and Seller that incorporates the terms of this Term Sheet, except as such terms may be modified by mutual agreement. </w:t>
      </w:r>
    </w:p>
    <w:p w:rsidR="00B4747E" w:rsidRDefault="0080141E">
      <w:pPr>
        <w:pStyle w:val="normal0"/>
        <w:widowControl w:val="0"/>
        <w:spacing w:after="120"/>
        <w:ind w:right="26"/>
      </w:pPr>
      <w:r>
        <w:rPr>
          <w:rFonts w:ascii="Times New Roman" w:eastAsia="Times New Roman" w:hAnsi="Times New Roman" w:cs="Times New Roman"/>
          <w:highlight w:val="white"/>
        </w:rPr>
        <w:t>WHEREAS, Seller owns certain Patents (as hereinafter defined) related to ___</w:t>
      </w:r>
      <w:r w:rsidRPr="0080141E">
        <w:rPr>
          <w:rStyle w:val="patent-title"/>
          <w:rFonts w:eastAsia="Times New Roman" w:cs="Times New Roman"/>
        </w:rPr>
        <w:t xml:space="preserve"> </w:t>
      </w:r>
      <w:r>
        <w:rPr>
          <w:rStyle w:val="patent-title"/>
          <w:rFonts w:eastAsia="Times New Roman" w:cs="Times New Roman"/>
        </w:rPr>
        <w:t>System, apparatus, and methods for proactive allocation of wireless communication resources</w:t>
      </w:r>
      <w:r>
        <w:rPr>
          <w:rFonts w:ascii="Times New Roman" w:eastAsia="Times New Roman" w:hAnsi="Times New Roman" w:cs="Times New Roman"/>
          <w:highlight w:val="white"/>
        </w:rPr>
        <w:t xml:space="preserve">__ and is willing to sell the Patents to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SynPat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; and</w:t>
      </w:r>
    </w:p>
    <w:p w:rsidR="00B4747E" w:rsidRDefault="0080141E">
      <w:pPr>
        <w:pStyle w:val="normal0"/>
        <w:widowControl w:val="0"/>
        <w:spacing w:after="120"/>
        <w:ind w:right="26"/>
      </w:pPr>
      <w:r>
        <w:rPr>
          <w:rFonts w:ascii="Times New Roman" w:eastAsia="Times New Roman" w:hAnsi="Times New Roman" w:cs="Times New Roman"/>
          <w:highlight w:val="white"/>
        </w:rPr>
        <w:t xml:space="preserve">WHEREAS,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SynPat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is interested in purchasing the Patents from Seller pursuant to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SynPat’s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analysis  indicating that acquisition of the Patents for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SynPat’s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Open Licensing Program would allow more than ten (10) operating companies to obtain licenses under the Patents if offered for a regular lic</w:t>
      </w:r>
      <w:r w:rsidR="00B24AEB">
        <w:rPr>
          <w:rFonts w:ascii="Times New Roman" w:eastAsia="Times New Roman" w:hAnsi="Times New Roman" w:cs="Times New Roman"/>
          <w:highlight w:val="white"/>
        </w:rPr>
        <w:t>ense price of approximately $__1,5</w:t>
      </w:r>
      <w:r>
        <w:rPr>
          <w:rFonts w:ascii="Times New Roman" w:eastAsia="Times New Roman" w:hAnsi="Times New Roman" w:cs="Times New Roman"/>
          <w:highlight w:val="white"/>
        </w:rPr>
        <w:t xml:space="preserve">00,000__, and therefore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SynPat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is willing to fund and execute a 100-day due diligence process to validate its analysis; and</w:t>
      </w:r>
    </w:p>
    <w:p w:rsidR="00B4747E" w:rsidRDefault="0080141E">
      <w:pPr>
        <w:pStyle w:val="normal0"/>
        <w:widowControl w:val="0"/>
        <w:spacing w:after="120"/>
        <w:ind w:right="26"/>
      </w:pPr>
      <w:r>
        <w:rPr>
          <w:rFonts w:ascii="Times New Roman" w:eastAsia="Times New Roman" w:hAnsi="Times New Roman" w:cs="Times New Roman"/>
          <w:highlight w:val="white"/>
        </w:rPr>
        <w:t>WHEREAS, within the due diligence period, Seller may solicit sale of the Patents to others but may not sell, transfer or otherwise encumber the Patents; and</w:t>
      </w:r>
    </w:p>
    <w:p w:rsidR="00B4747E" w:rsidRDefault="0080141E">
      <w:pPr>
        <w:pStyle w:val="normal0"/>
        <w:widowControl w:val="0"/>
        <w:spacing w:after="120"/>
        <w:ind w:right="26"/>
      </w:pPr>
      <w:r>
        <w:rPr>
          <w:rFonts w:ascii="Times New Roman" w:eastAsia="Times New Roman" w:hAnsi="Times New Roman" w:cs="Times New Roman"/>
          <w:highlight w:val="white"/>
        </w:rPr>
        <w:t>WHEREAS, the Parties are willing to engage in sale of the Patents according to the terms and conditions set forth herein.</w:t>
      </w:r>
    </w:p>
    <w:p w:rsidR="00B4747E" w:rsidRDefault="00B4747E">
      <w:pPr>
        <w:pStyle w:val="normal0"/>
        <w:spacing w:after="120"/>
      </w:pPr>
    </w:p>
    <w:p w:rsidR="00B4747E" w:rsidRDefault="0080141E">
      <w:pPr>
        <w:pStyle w:val="normal0"/>
        <w:spacing w:after="120"/>
      </w:pPr>
      <w:r>
        <w:rPr>
          <w:rFonts w:ascii="Times New Roman" w:eastAsia="Times New Roman" w:hAnsi="Times New Roman" w:cs="Times New Roman"/>
          <w:b/>
        </w:rPr>
        <w:t>Term:</w:t>
      </w:r>
    </w:p>
    <w:p w:rsidR="00B4747E" w:rsidRDefault="0080141E">
      <w:pPr>
        <w:pStyle w:val="normal0"/>
        <w:spacing w:after="120"/>
      </w:pPr>
      <w:r>
        <w:rPr>
          <w:rFonts w:ascii="Times New Roman" w:eastAsia="Times New Roman" w:hAnsi="Times New Roman" w:cs="Times New Roman"/>
        </w:rPr>
        <w:t xml:space="preserve">If within 100 days from signing the PPA,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 xml:space="preserve"> does not inform Seller that the due diligence was completed successfully, the PPA will expire.</w:t>
      </w:r>
    </w:p>
    <w:p w:rsidR="00B4747E" w:rsidRDefault="0080141E">
      <w:pPr>
        <w:pStyle w:val="normal0"/>
        <w:spacing w:after="120"/>
      </w:pPr>
      <w:r>
        <w:rPr>
          <w:rFonts w:ascii="Times New Roman" w:eastAsia="Times New Roman" w:hAnsi="Times New Roman" w:cs="Times New Roman"/>
        </w:rPr>
        <w:t xml:space="preserve"> </w:t>
      </w:r>
    </w:p>
    <w:p w:rsidR="00B4747E" w:rsidRDefault="0080141E">
      <w:pPr>
        <w:pStyle w:val="normal0"/>
        <w:widowControl w:val="0"/>
        <w:spacing w:after="120"/>
      </w:pPr>
      <w:r>
        <w:rPr>
          <w:rFonts w:ascii="Times New Roman" w:eastAsia="Times New Roman" w:hAnsi="Times New Roman" w:cs="Times New Roman"/>
          <w:b/>
        </w:rPr>
        <w:t>Acquisition:</w:t>
      </w:r>
    </w:p>
    <w:p w:rsidR="00B4747E" w:rsidRDefault="0080141E">
      <w:pPr>
        <w:pStyle w:val="normal0"/>
        <w:widowControl w:val="0"/>
        <w:spacing w:after="120"/>
      </w:pPr>
      <w:r>
        <w:rPr>
          <w:rFonts w:ascii="Times New Roman" w:eastAsia="Times New Roman" w:hAnsi="Times New Roman" w:cs="Times New Roman"/>
          <w:highlight w:val="white"/>
        </w:rPr>
        <w:t xml:space="preserve">The rights to the Patents will be conveyed from Seller to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SynPat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in two steps:</w:t>
      </w:r>
      <w:r>
        <w:rPr>
          <w:rFonts w:ascii="Times New Roman" w:eastAsia="Times New Roman" w:hAnsi="Times New Roman" w:cs="Times New Roman"/>
        </w:rPr>
        <w:t xml:space="preserve"> </w:t>
      </w:r>
    </w:p>
    <w:p w:rsidR="00B4747E" w:rsidRDefault="0080141E">
      <w:pPr>
        <w:pStyle w:val="normal0"/>
        <w:widowControl w:val="0"/>
        <w:numPr>
          <w:ilvl w:val="0"/>
          <w:numId w:val="2"/>
        </w:numPr>
        <w:spacing w:after="12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Upon </w:t>
      </w:r>
      <w:proofErr w:type="spellStart"/>
      <w:r>
        <w:rPr>
          <w:rFonts w:ascii="Times New Roman" w:eastAsia="Times New Roman" w:hAnsi="Times New Roman" w:cs="Times New Roman"/>
        </w:rPr>
        <w:t>SynPat’s</w:t>
      </w:r>
      <w:proofErr w:type="spellEnd"/>
      <w:r>
        <w:rPr>
          <w:rFonts w:ascii="Times New Roman" w:eastAsia="Times New Roman" w:hAnsi="Times New Roman" w:cs="Times New Roman"/>
        </w:rPr>
        <w:t xml:space="preserve"> notice to Seller that the due diligence was completed successfully,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 xml:space="preserve"> will be conveyed the exclusive right to grant licenses under the Patents.</w:t>
      </w:r>
    </w:p>
    <w:p w:rsidR="00B4747E" w:rsidRDefault="0080141E">
      <w:pPr>
        <w:pStyle w:val="normal0"/>
        <w:widowControl w:val="0"/>
        <w:numPr>
          <w:ilvl w:val="0"/>
          <w:numId w:val="2"/>
        </w:numPr>
        <w:spacing w:after="12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Within 7 days from </w:t>
      </w:r>
      <w:proofErr w:type="spellStart"/>
      <w:r>
        <w:rPr>
          <w:rFonts w:ascii="Times New Roman" w:eastAsia="Times New Roman" w:hAnsi="Times New Roman" w:cs="Times New Roman"/>
        </w:rPr>
        <w:t>SynPat’s</w:t>
      </w:r>
      <w:proofErr w:type="spellEnd"/>
      <w:r>
        <w:rPr>
          <w:rFonts w:ascii="Times New Roman" w:eastAsia="Times New Roman" w:hAnsi="Times New Roman" w:cs="Times New Roman"/>
        </w:rPr>
        <w:t xml:space="preserve"> notice of successful due diligence, Seller will be paid  $____3,000,000____ (the “Upfront Price”), and upon such payment,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 xml:space="preserve"> will be conveyed all other rights including title to the Patents (the “Closing”).</w:t>
      </w:r>
    </w:p>
    <w:p w:rsidR="00B4747E" w:rsidRDefault="0080141E">
      <w:pPr>
        <w:pStyle w:val="normal0"/>
        <w:widowControl w:val="0"/>
        <w:spacing w:after="120"/>
      </w:pPr>
      <w:r>
        <w:rPr>
          <w:rFonts w:ascii="Times New Roman" w:eastAsia="Times New Roman" w:hAnsi="Times New Roman" w:cs="Times New Roman"/>
        </w:rPr>
        <w:t xml:space="preserve">In addition to the Upfront Price, Seller will receive from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one-third (1/3) of</w:t>
      </w:r>
      <w:r>
        <w:rPr>
          <w:rFonts w:ascii="Times New Roman" w:eastAsia="Times New Roman" w:hAnsi="Times New Roman" w:cs="Times New Roman"/>
        </w:rPr>
        <w:t xml:space="preserve"> any amount received by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 xml:space="preserve"> during the Regular and the Risk Averse licensing stages, and also from any sale of the Patents </w:t>
      </w:r>
      <w:r>
        <w:rPr>
          <w:rFonts w:ascii="Times New Roman" w:eastAsia="Times New Roman" w:hAnsi="Times New Roman" w:cs="Times New Roman"/>
        </w:rPr>
        <w:lastRenderedPageBreak/>
        <w:t>(“Royalty Payments”).</w:t>
      </w:r>
    </w:p>
    <w:p w:rsidR="00B4747E" w:rsidRDefault="00B4747E">
      <w:pPr>
        <w:pStyle w:val="normal0"/>
        <w:widowControl w:val="0"/>
        <w:spacing w:after="120"/>
      </w:pPr>
    </w:p>
    <w:p w:rsidR="00B4747E" w:rsidRDefault="0080141E">
      <w:pPr>
        <w:pStyle w:val="normal0"/>
        <w:widowControl w:val="0"/>
        <w:spacing w:after="120"/>
      </w:pPr>
      <w:r>
        <w:rPr>
          <w:rFonts w:ascii="Times New Roman" w:eastAsia="Times New Roman" w:hAnsi="Times New Roman" w:cs="Times New Roman"/>
          <w:b/>
        </w:rPr>
        <w:t>Cost Licensing:</w:t>
      </w:r>
    </w:p>
    <w:p w:rsidR="00B4747E" w:rsidRDefault="0080141E">
      <w:pPr>
        <w:pStyle w:val="normal0"/>
        <w:widowControl w:val="0"/>
        <w:spacing w:after="120" w:line="240" w:lineRule="auto"/>
      </w:pPr>
      <w:r>
        <w:rPr>
          <w:rFonts w:ascii="Times New Roman" w:eastAsia="Times New Roman" w:hAnsi="Times New Roman" w:cs="Times New Roman"/>
        </w:rPr>
        <w:t xml:space="preserve">During the 100-day diligence period,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 xml:space="preserve"> will offer operating companies to join an ad-hoc syndicate to fund the Upfront Price and to receive from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B4747E" w:rsidRDefault="0080141E">
      <w:pPr>
        <w:pStyle w:val="normal0"/>
        <w:widowControl w:val="0"/>
        <w:numPr>
          <w:ilvl w:val="0"/>
          <w:numId w:val="3"/>
        </w:numPr>
        <w:spacing w:after="120"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non-exclusive license under the Patents, and</w:t>
      </w:r>
    </w:p>
    <w:p w:rsidR="00B4747E" w:rsidRDefault="0080141E">
      <w:pPr>
        <w:pStyle w:val="normal0"/>
        <w:widowControl w:val="0"/>
        <w:numPr>
          <w:ilvl w:val="0"/>
          <w:numId w:val="3"/>
        </w:numPr>
        <w:spacing w:after="120"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option to acquire exclusive rights to sub-license a designated third party of their choice, and</w:t>
      </w:r>
    </w:p>
    <w:p w:rsidR="00B4747E" w:rsidRDefault="0080141E">
      <w:pPr>
        <w:pStyle w:val="normal0"/>
        <w:widowControl w:val="0"/>
        <w:numPr>
          <w:ilvl w:val="0"/>
          <w:numId w:val="3"/>
        </w:numPr>
        <w:spacing w:after="120"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 amount equal to the Royalty Payments, which will be equally divided among  the accepting companies (“Participants”).  </w:t>
      </w:r>
    </w:p>
    <w:p w:rsidR="00B4747E" w:rsidRDefault="0080141E">
      <w:pPr>
        <w:pStyle w:val="normal0"/>
        <w:widowControl w:val="0"/>
        <w:spacing w:after="120" w:line="240" w:lineRule="auto"/>
      </w:pPr>
      <w:r>
        <w:rPr>
          <w:rFonts w:ascii="Times New Roman" w:eastAsia="Times New Roman" w:hAnsi="Times New Roman" w:cs="Times New Roman"/>
        </w:rPr>
        <w:t>Each Participant will pay directly to Seller an amount equal to the Upfront Price divided by the number of accepting companies (“Cost Price”).</w:t>
      </w:r>
    </w:p>
    <w:p w:rsidR="00B4747E" w:rsidRDefault="0080141E">
      <w:pPr>
        <w:pStyle w:val="normal0"/>
        <w:widowControl w:val="0"/>
        <w:spacing w:after="120"/>
      </w:pPr>
      <w:r>
        <w:rPr>
          <w:rFonts w:ascii="Times New Roman" w:eastAsia="Times New Roman" w:hAnsi="Times New Roman" w:cs="Times New Roman"/>
        </w:rPr>
        <w:t xml:space="preserve">In the event the addressable market is less responsive than expected and does not timely react to the opportunity to fund the acquisition,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 xml:space="preserve"> may decide to include funds from financial sources.</w:t>
      </w:r>
    </w:p>
    <w:p w:rsidR="00B4747E" w:rsidRDefault="00B4747E">
      <w:pPr>
        <w:pStyle w:val="normal0"/>
        <w:widowControl w:val="0"/>
        <w:spacing w:after="120"/>
      </w:pPr>
    </w:p>
    <w:p w:rsidR="00B4747E" w:rsidRDefault="0080141E">
      <w:pPr>
        <w:pStyle w:val="normal0"/>
        <w:widowControl w:val="0"/>
        <w:spacing w:after="120"/>
      </w:pPr>
      <w:r>
        <w:rPr>
          <w:rFonts w:ascii="Times New Roman" w:eastAsia="Times New Roman" w:hAnsi="Times New Roman" w:cs="Times New Roman"/>
          <w:b/>
        </w:rPr>
        <w:t>Regular Licensing:</w:t>
      </w:r>
    </w:p>
    <w:p w:rsidR="00B4747E" w:rsidRDefault="0080141E">
      <w:pPr>
        <w:pStyle w:val="normal0"/>
        <w:widowControl w:val="0"/>
        <w:spacing w:after="120"/>
      </w:pPr>
      <w:r>
        <w:rPr>
          <w:rFonts w:ascii="Times New Roman" w:eastAsia="Times New Roman" w:hAnsi="Times New Roman" w:cs="Times New Roman"/>
        </w:rPr>
        <w:t xml:space="preserve">During the four (4) month period following the Closing (“Regular Licensing”),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 xml:space="preserve"> will offer licenses under the Patents at 50% markup on top of the Cost Price, </w:t>
      </w:r>
      <w:proofErr w:type="spellStart"/>
      <w:r>
        <w:rPr>
          <w:rFonts w:ascii="Times New Roman" w:eastAsia="Times New Roman" w:hAnsi="Times New Roman" w:cs="Times New Roman"/>
        </w:rPr>
        <w:t>i.e</w:t>
      </w:r>
      <w:proofErr w:type="spellEnd"/>
      <w:r>
        <w:rPr>
          <w:rFonts w:ascii="Times New Roman" w:eastAsia="Times New Roman" w:hAnsi="Times New Roman" w:cs="Times New Roman"/>
        </w:rPr>
        <w:t>, at a price equal to 1.5 x Cost Price (“Regular Price”).</w:t>
      </w:r>
    </w:p>
    <w:p w:rsidR="00B4747E" w:rsidRDefault="00B4747E">
      <w:pPr>
        <w:pStyle w:val="normal0"/>
        <w:widowControl w:val="0"/>
        <w:spacing w:after="120"/>
      </w:pPr>
    </w:p>
    <w:p w:rsidR="00B4747E" w:rsidRDefault="0080141E">
      <w:pPr>
        <w:pStyle w:val="normal0"/>
        <w:widowControl w:val="0"/>
        <w:spacing w:after="120"/>
      </w:pPr>
      <w:r>
        <w:rPr>
          <w:rFonts w:ascii="Times New Roman" w:eastAsia="Times New Roman" w:hAnsi="Times New Roman" w:cs="Times New Roman"/>
          <w:b/>
        </w:rPr>
        <w:t>Risk Averse Licensing:</w:t>
      </w:r>
    </w:p>
    <w:p w:rsidR="00B4747E" w:rsidRDefault="0080141E">
      <w:pPr>
        <w:pStyle w:val="normal0"/>
        <w:spacing w:after="120"/>
      </w:pPr>
      <w:r>
        <w:rPr>
          <w:rFonts w:ascii="Times New Roman" w:eastAsia="Times New Roman" w:hAnsi="Times New Roman" w:cs="Times New Roman"/>
        </w:rPr>
        <w:t xml:space="preserve">After the four (4) month Regular Licensing stage (“Risk Averse Licensing”),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 xml:space="preserve"> will offer licenses under the Patents at a premium price, equal to twice the Regular Price (“Validated Price”), reflecting the market’s acknowledgment and validation of the Patents.</w:t>
      </w:r>
    </w:p>
    <w:p w:rsidR="00B4747E" w:rsidRDefault="00B4747E">
      <w:pPr>
        <w:pStyle w:val="normal0"/>
        <w:spacing w:after="120"/>
      </w:pPr>
    </w:p>
    <w:p w:rsidR="00B4747E" w:rsidRDefault="0080141E">
      <w:pPr>
        <w:pStyle w:val="normal0"/>
        <w:spacing w:after="120"/>
      </w:pPr>
      <w:r>
        <w:rPr>
          <w:rFonts w:ascii="Times New Roman" w:eastAsia="Times New Roman" w:hAnsi="Times New Roman" w:cs="Times New Roman"/>
          <w:b/>
        </w:rPr>
        <w:t>Sale:</w:t>
      </w:r>
    </w:p>
    <w:p w:rsidR="00B4747E" w:rsidRDefault="0080141E">
      <w:pPr>
        <w:pStyle w:val="normal0"/>
        <w:spacing w:after="120"/>
      </w:pPr>
      <w:r>
        <w:rPr>
          <w:rFonts w:ascii="Times New Roman" w:eastAsia="Times New Roman" w:hAnsi="Times New Roman" w:cs="Times New Roman"/>
        </w:rPr>
        <w:t xml:space="preserve">During the Risk Averse Licensing stage,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 xml:space="preserve"> will be permitted to sell the Patents, and the Patents might be asserted against “free riders” (companies to whom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 xml:space="preserve"> presents evidence of clear infringement, and yet, despite the offered opportunities to acquire a license under the Patents, such companies disregard the offers without challenging the evidence of use against them).</w:t>
      </w:r>
    </w:p>
    <w:p w:rsidR="00B4747E" w:rsidRDefault="0080141E">
      <w:pPr>
        <w:pStyle w:val="normal0"/>
        <w:spacing w:after="120"/>
      </w:pPr>
      <w:r>
        <w:rPr>
          <w:rFonts w:ascii="Times New Roman" w:eastAsia="Times New Roman" w:hAnsi="Times New Roman" w:cs="Times New Roman"/>
        </w:rPr>
        <w:t xml:space="preserve">Seller is entitled to mandate </w:t>
      </w:r>
      <w:r>
        <w:rPr>
          <w:rFonts w:ascii="Times New Roman" w:eastAsia="Times New Roman" w:hAnsi="Times New Roman" w:cs="Times New Roman"/>
          <w:i/>
        </w:rPr>
        <w:t>a priori</w:t>
      </w:r>
      <w:r>
        <w:rPr>
          <w:rFonts w:ascii="Times New Roman" w:eastAsia="Times New Roman" w:hAnsi="Times New Roman" w:cs="Times New Roman"/>
        </w:rPr>
        <w:t xml:space="preserve"> that after such a sale of the Patents by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>, the Patents will not be asserted against free riders or any designated companies.</w:t>
      </w:r>
    </w:p>
    <w:p w:rsidR="00B4747E" w:rsidRDefault="00B4747E">
      <w:pPr>
        <w:pStyle w:val="normal0"/>
        <w:spacing w:after="120"/>
      </w:pPr>
    </w:p>
    <w:p w:rsidR="00B4747E" w:rsidRDefault="0080141E">
      <w:pPr>
        <w:pStyle w:val="normal0"/>
        <w:spacing w:after="120"/>
      </w:pPr>
      <w:r>
        <w:rPr>
          <w:rFonts w:ascii="Times New Roman" w:eastAsia="Times New Roman" w:hAnsi="Times New Roman" w:cs="Times New Roman"/>
          <w:b/>
        </w:rPr>
        <w:t>Confidentiality:</w:t>
      </w:r>
    </w:p>
    <w:p w:rsidR="00B4747E" w:rsidRDefault="0080141E">
      <w:pPr>
        <w:pStyle w:val="normal0"/>
      </w:pPr>
      <w:r>
        <w:rPr>
          <w:rFonts w:ascii="Times New Roman" w:eastAsia="Times New Roman" w:hAnsi="Times New Roman" w:cs="Times New Roman"/>
        </w:rPr>
        <w:t xml:space="preserve">The terms included herein are deemed confidential and subject to the Non-Disclosure Agreement in existence between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 xml:space="preserve"> and Seller.</w:t>
      </w:r>
      <w:r>
        <w:br w:type="page"/>
      </w:r>
    </w:p>
    <w:p w:rsidR="00B4747E" w:rsidRDefault="00B4747E">
      <w:pPr>
        <w:pStyle w:val="normal0"/>
        <w:spacing w:after="120"/>
      </w:pPr>
    </w:p>
    <w:p w:rsidR="00B4747E" w:rsidRDefault="00B4747E">
      <w:pPr>
        <w:pStyle w:val="normal0"/>
        <w:spacing w:after="120"/>
      </w:pPr>
    </w:p>
    <w:p w:rsidR="00B4747E" w:rsidRDefault="0080141E">
      <w:pPr>
        <w:pStyle w:val="normal0"/>
        <w:spacing w:after="120"/>
      </w:pPr>
      <w:r>
        <w:rPr>
          <w:rFonts w:ascii="Times New Roman" w:eastAsia="Times New Roman" w:hAnsi="Times New Roman" w:cs="Times New Roman"/>
          <w:b/>
        </w:rPr>
        <w:t>EXAMPLE</w:t>
      </w:r>
    </w:p>
    <w:p w:rsidR="00B4747E" w:rsidRDefault="0080141E">
      <w:pPr>
        <w:pStyle w:val="normal0"/>
        <w:spacing w:after="120"/>
      </w:pPr>
      <w:r>
        <w:rPr>
          <w:rFonts w:ascii="Times New Roman" w:eastAsia="Times New Roman" w:hAnsi="Times New Roman" w:cs="Times New Roman"/>
        </w:rPr>
        <w:t>The following example demonstrates a typical scenario wher</w:t>
      </w:r>
      <w:r w:rsidR="00A10DFA">
        <w:rPr>
          <w:rFonts w:ascii="Times New Roman" w:eastAsia="Times New Roman" w:hAnsi="Times New Roman" w:cs="Times New Roman"/>
        </w:rPr>
        <w:t xml:space="preserve">e the agreed Upfront Price is </w:t>
      </w:r>
      <w:r w:rsidR="00B24AEB">
        <w:rPr>
          <w:rFonts w:ascii="Times New Roman" w:eastAsia="Times New Roman" w:hAnsi="Times New Roman" w:cs="Times New Roman"/>
        </w:rPr>
        <w:t>__</w:t>
      </w:r>
      <w:r w:rsidR="00A10DFA">
        <w:rPr>
          <w:rFonts w:ascii="Times New Roman" w:eastAsia="Times New Roman" w:hAnsi="Times New Roman" w:cs="Times New Roman"/>
        </w:rPr>
        <w:t>$7.5</w:t>
      </w:r>
      <w:r>
        <w:rPr>
          <w:rFonts w:ascii="Times New Roman" w:eastAsia="Times New Roman" w:hAnsi="Times New Roman" w:cs="Times New Roman"/>
        </w:rPr>
        <w:t>M</w:t>
      </w:r>
      <w:r w:rsidR="00B24AEB">
        <w:rPr>
          <w:rFonts w:ascii="Times New Roman" w:eastAsia="Times New Roman" w:hAnsi="Times New Roman" w:cs="Times New Roman"/>
        </w:rPr>
        <w:t>__</w:t>
      </w:r>
      <w:r>
        <w:rPr>
          <w:rFonts w:ascii="Times New Roman" w:eastAsia="Times New Roman" w:hAnsi="Times New Roman" w:cs="Times New Roman"/>
        </w:rPr>
        <w:t xml:space="preserve"> and an addressable market of 10 licensees divided as follows:</w:t>
      </w:r>
      <w:bookmarkStart w:id="0" w:name="_GoBack"/>
      <w:bookmarkEnd w:id="0"/>
    </w:p>
    <w:p w:rsidR="00B4747E" w:rsidRDefault="0080141E">
      <w:pPr>
        <w:pStyle w:val="normal0"/>
        <w:numPr>
          <w:ilvl w:val="0"/>
          <w:numId w:val="1"/>
        </w:numPr>
        <w:spacing w:after="12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first 100 days: 30% of the market </w:t>
      </w:r>
      <w:r w:rsidR="00A10DFA">
        <w:rPr>
          <w:rFonts w:ascii="Times New Roman" w:eastAsia="Times New Roman" w:hAnsi="Times New Roman" w:cs="Times New Roman"/>
        </w:rPr>
        <w:t>(3 Participants) will share a $3M Upfront Price, each pays $1</w:t>
      </w:r>
      <w:r>
        <w:rPr>
          <w:rFonts w:ascii="Times New Roman" w:eastAsia="Times New Roman" w:hAnsi="Times New Roman" w:cs="Times New Roman"/>
        </w:rPr>
        <w:t>M.</w:t>
      </w:r>
    </w:p>
    <w:p w:rsidR="00B4747E" w:rsidRDefault="0080141E">
      <w:pPr>
        <w:pStyle w:val="normal0"/>
        <w:numPr>
          <w:ilvl w:val="0"/>
          <w:numId w:val="1"/>
        </w:numPr>
        <w:spacing w:after="12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Within 4 months thereafter: 50% of the market (5 Regular Licens</w:t>
      </w:r>
      <w:r w:rsidR="00A10DFA">
        <w:rPr>
          <w:rFonts w:ascii="Times New Roman" w:eastAsia="Times New Roman" w:hAnsi="Times New Roman" w:cs="Times New Roman"/>
        </w:rPr>
        <w:t>ees) will acquire licenses at $1</w:t>
      </w:r>
      <w:r>
        <w:rPr>
          <w:rFonts w:ascii="Times New Roman" w:eastAsia="Times New Roman" w:hAnsi="Times New Roman" w:cs="Times New Roman"/>
        </w:rPr>
        <w:t>.5M each.</w:t>
      </w:r>
    </w:p>
    <w:p w:rsidR="00B4747E" w:rsidRDefault="0080141E">
      <w:pPr>
        <w:pStyle w:val="normal0"/>
        <w:numPr>
          <w:ilvl w:val="0"/>
          <w:numId w:val="1"/>
        </w:numPr>
        <w:spacing w:after="12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Thereafter: 20% of the market (2 Risk Averse Licens</w:t>
      </w:r>
      <w:r w:rsidR="00A10DFA">
        <w:rPr>
          <w:rFonts w:ascii="Times New Roman" w:eastAsia="Times New Roman" w:hAnsi="Times New Roman" w:cs="Times New Roman"/>
        </w:rPr>
        <w:t>ees) will acquire licenses at $3</w:t>
      </w:r>
      <w:r>
        <w:rPr>
          <w:rFonts w:ascii="Times New Roman" w:eastAsia="Times New Roman" w:hAnsi="Times New Roman" w:cs="Times New Roman"/>
        </w:rPr>
        <w:t>M each.</w:t>
      </w:r>
    </w:p>
    <w:p w:rsidR="00B4747E" w:rsidRDefault="0080141E">
      <w:pPr>
        <w:pStyle w:val="normal0"/>
        <w:numPr>
          <w:ilvl w:val="0"/>
          <w:numId w:val="1"/>
        </w:numPr>
        <w:spacing w:after="12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tot</w:t>
      </w:r>
      <w:r w:rsidR="00A10DFA">
        <w:rPr>
          <w:rFonts w:ascii="Times New Roman" w:eastAsia="Times New Roman" w:hAnsi="Times New Roman" w:cs="Times New Roman"/>
        </w:rPr>
        <w:t>al amount paid to Seller is $7.5</w:t>
      </w:r>
      <w:r>
        <w:rPr>
          <w:rFonts w:ascii="Times New Roman" w:eastAsia="Times New Roman" w:hAnsi="Times New Roman" w:cs="Times New Roman"/>
        </w:rPr>
        <w:t>M.</w:t>
      </w:r>
    </w:p>
    <w:p w:rsidR="00B4747E" w:rsidRDefault="0080141E">
      <w:pPr>
        <w:pStyle w:val="normal0"/>
        <w:numPr>
          <w:ilvl w:val="0"/>
          <w:numId w:val="1"/>
        </w:numPr>
        <w:spacing w:after="12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total license cost for e</w:t>
      </w:r>
      <w:r w:rsidR="00A10DFA">
        <w:rPr>
          <w:rFonts w:ascii="Times New Roman" w:eastAsia="Times New Roman" w:hAnsi="Times New Roman" w:cs="Times New Roman"/>
        </w:rPr>
        <w:t>ach Participant is negative $500K (a free license + $50</w:t>
      </w:r>
      <w:r>
        <w:rPr>
          <w:rFonts w:ascii="Times New Roman" w:eastAsia="Times New Roman" w:hAnsi="Times New Roman" w:cs="Times New Roman"/>
        </w:rPr>
        <w:t xml:space="preserve">0K return) </w:t>
      </w:r>
    </w:p>
    <w:p w:rsidR="00B4747E" w:rsidRDefault="00B4747E">
      <w:pPr>
        <w:pStyle w:val="normal0"/>
        <w:spacing w:after="120"/>
      </w:pPr>
    </w:p>
    <w:p w:rsidR="00B4747E" w:rsidRDefault="00A10DFA">
      <w:pPr>
        <w:pStyle w:val="normal0"/>
        <w:spacing w:after="120"/>
      </w:pPr>
      <w:r>
        <w:rPr>
          <w:noProof/>
        </w:rPr>
        <w:drawing>
          <wp:inline distT="0" distB="0" distL="0" distR="0">
            <wp:extent cx="5943600" cy="2305723"/>
            <wp:effectExtent l="0" t="0" r="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FA" w:rsidRDefault="00A10DFA">
      <w:pPr>
        <w:pStyle w:val="normal0"/>
        <w:spacing w:after="120"/>
      </w:pPr>
      <w:r>
        <w:rPr>
          <w:noProof/>
        </w:rPr>
        <w:drawing>
          <wp:inline distT="0" distB="0" distL="0" distR="0">
            <wp:extent cx="5943600" cy="2453193"/>
            <wp:effectExtent l="0" t="0" r="0" b="107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47E" w:rsidRDefault="0080141E">
      <w:pPr>
        <w:pStyle w:val="normal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(Source: </w:t>
      </w:r>
      <w:hyperlink r:id="rId10">
        <w:r>
          <w:rPr>
            <w:rFonts w:ascii="Times New Roman" w:eastAsia="Times New Roman" w:hAnsi="Times New Roman" w:cs="Times New Roman"/>
            <w:color w:val="1155CC"/>
            <w:u w:val="single"/>
          </w:rPr>
          <w:t>www.synpat.com/patentees</w:t>
        </w:r>
      </w:hyperlink>
      <w:r>
        <w:rPr>
          <w:rFonts w:ascii="Times New Roman" w:eastAsia="Times New Roman" w:hAnsi="Times New Roman" w:cs="Times New Roman"/>
        </w:rPr>
        <w:t>)</w:t>
      </w:r>
    </w:p>
    <w:p w:rsidR="00A10DFA" w:rsidRDefault="00A10DFA">
      <w:pPr>
        <w:pStyle w:val="normal0"/>
        <w:spacing w:after="120"/>
        <w:rPr>
          <w:rFonts w:ascii="Times New Roman" w:eastAsia="Times New Roman" w:hAnsi="Times New Roman" w:cs="Times New Roman"/>
        </w:rPr>
      </w:pPr>
    </w:p>
    <w:p w:rsidR="00A10DFA" w:rsidRDefault="00A10DFA" w:rsidP="00A10DFA">
      <w:pPr>
        <w:pStyle w:val="normal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b/>
        </w:rPr>
        <w:lastRenderedPageBreak/>
        <w:t>TERM SHEET</w:t>
      </w:r>
    </w:p>
    <w:p w:rsidR="00A10DFA" w:rsidRDefault="00A10DFA" w:rsidP="00A10DFA">
      <w:pPr>
        <w:pStyle w:val="normal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b/>
        </w:rPr>
        <w:t xml:space="preserve">for the </w:t>
      </w:r>
    </w:p>
    <w:p w:rsidR="00A10DFA" w:rsidRDefault="00A10DFA" w:rsidP="00A10DFA">
      <w:pPr>
        <w:pStyle w:val="normal0"/>
        <w:spacing w:after="12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</w:rPr>
        <w:t>SynPat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Open Licensing Program</w:t>
      </w:r>
    </w:p>
    <w:p w:rsidR="00A10DFA" w:rsidRDefault="00A10DFA" w:rsidP="00A10DFA">
      <w:pPr>
        <w:pStyle w:val="normal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b/>
          <w:i/>
        </w:rPr>
        <w:t>Non-Binding - subject to NDA</w:t>
      </w:r>
    </w:p>
    <w:p w:rsidR="00A10DFA" w:rsidRDefault="00A10DFA" w:rsidP="00A10DFA">
      <w:pPr>
        <w:pStyle w:val="normal0"/>
        <w:spacing w:after="120" w:line="240" w:lineRule="auto"/>
        <w:jc w:val="center"/>
      </w:pPr>
    </w:p>
    <w:p w:rsidR="00A10DFA" w:rsidRDefault="00A10DFA" w:rsidP="00A10DFA">
      <w:pPr>
        <w:pStyle w:val="normal0"/>
        <w:spacing w:after="120" w:line="240" w:lineRule="auto"/>
        <w:jc w:val="center"/>
      </w:pPr>
      <w:r>
        <w:rPr>
          <w:rFonts w:ascii="Times New Roman" w:eastAsia="Times New Roman" w:hAnsi="Times New Roman" w:cs="Times New Roman"/>
        </w:rPr>
        <w:t>Acquisition of _Patents ___ Patents; _July___, 2015</w:t>
      </w:r>
    </w:p>
    <w:p w:rsidR="00A10DFA" w:rsidRDefault="00A10DFA" w:rsidP="00A10DFA">
      <w:pPr>
        <w:pStyle w:val="normal0"/>
        <w:spacing w:after="120"/>
      </w:pPr>
      <w:r>
        <w:rPr>
          <w:rFonts w:ascii="Times New Roman" w:eastAsia="Times New Roman" w:hAnsi="Times New Roman" w:cs="Times New Roman"/>
        </w:rPr>
        <w:t>The purpose of this non-binding Term Sheet is to facilitate discussions between Syndicated Patent Acquisitions Corp. (“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 xml:space="preserve">”) and ____EDWIN A HERNANDEZ__ (“Seller”) concerning the possible acquisition of certain of Seller’s patents by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 xml:space="preserve">. A binding purchase commitment can only result from the execution of a mutually satisfactory Patent Purchase Agreement (“PPA”) between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 xml:space="preserve"> and Seller that incorporates the terms of this Term Sheet, except as such terms may be modified by mutual agreement. </w:t>
      </w:r>
    </w:p>
    <w:p w:rsidR="00A10DFA" w:rsidRDefault="00A10DFA" w:rsidP="00A10DFA">
      <w:pPr>
        <w:pStyle w:val="normal0"/>
        <w:widowControl w:val="0"/>
        <w:spacing w:after="120"/>
        <w:ind w:right="26"/>
      </w:pPr>
      <w:r>
        <w:rPr>
          <w:rFonts w:ascii="Times New Roman" w:eastAsia="Times New Roman" w:hAnsi="Times New Roman" w:cs="Times New Roman"/>
          <w:highlight w:val="white"/>
        </w:rPr>
        <w:t>WHEREAS, Seller owns certain Patents (as hereinafter defined) related to ___</w:t>
      </w:r>
      <w:r w:rsidRPr="0080141E">
        <w:rPr>
          <w:rStyle w:val="patent-title"/>
          <w:rFonts w:eastAsia="Times New Roman" w:cs="Times New Roman"/>
        </w:rPr>
        <w:t xml:space="preserve"> </w:t>
      </w:r>
      <w:r>
        <w:rPr>
          <w:rStyle w:val="patent-title"/>
          <w:rFonts w:eastAsia="Times New Roman" w:cs="Times New Roman"/>
        </w:rPr>
        <w:t>Rapid Mobility Network Emulator and System (US 7,231,330)</w:t>
      </w:r>
      <w:r>
        <w:rPr>
          <w:rFonts w:ascii="Times New Roman" w:eastAsia="Times New Roman" w:hAnsi="Times New Roman" w:cs="Times New Roman"/>
          <w:highlight w:val="white"/>
        </w:rPr>
        <w:t xml:space="preserve">__ and is willing to sell the Patents to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SynPat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; and</w:t>
      </w:r>
    </w:p>
    <w:p w:rsidR="00A10DFA" w:rsidRDefault="00A10DFA" w:rsidP="00A10DFA">
      <w:pPr>
        <w:pStyle w:val="normal0"/>
        <w:widowControl w:val="0"/>
        <w:spacing w:after="120"/>
        <w:ind w:right="26"/>
      </w:pPr>
      <w:r>
        <w:rPr>
          <w:rFonts w:ascii="Times New Roman" w:eastAsia="Times New Roman" w:hAnsi="Times New Roman" w:cs="Times New Roman"/>
          <w:highlight w:val="white"/>
        </w:rPr>
        <w:t xml:space="preserve">WHEREAS,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SynPat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is interested in purchasing the Patents from Seller pursuant to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SynPat’s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analysis  indicating that acquisition of the Patents for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SynPat’s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Open Licensing Program would allow more than ten (10) operating companies to obtain licenses under the Patents if offered for a regular license price of approximately $__1,500,000__, and therefore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SynPat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is willing to fund and execute a 100-day due diligence process to validate its analysis; and</w:t>
      </w:r>
    </w:p>
    <w:p w:rsidR="00A10DFA" w:rsidRDefault="00A10DFA" w:rsidP="00A10DFA">
      <w:pPr>
        <w:pStyle w:val="normal0"/>
        <w:widowControl w:val="0"/>
        <w:spacing w:after="120"/>
        <w:ind w:right="26"/>
      </w:pPr>
      <w:r>
        <w:rPr>
          <w:rFonts w:ascii="Times New Roman" w:eastAsia="Times New Roman" w:hAnsi="Times New Roman" w:cs="Times New Roman"/>
          <w:highlight w:val="white"/>
        </w:rPr>
        <w:t>WHEREAS, within the due diligence period, Seller may solicit sale of the Patents to others but may not sell, transfer or otherwise encumber the Patents; and</w:t>
      </w:r>
    </w:p>
    <w:p w:rsidR="00A10DFA" w:rsidRDefault="00A10DFA" w:rsidP="00A10DFA">
      <w:pPr>
        <w:pStyle w:val="normal0"/>
        <w:widowControl w:val="0"/>
        <w:spacing w:after="120"/>
        <w:ind w:right="26"/>
      </w:pPr>
      <w:r>
        <w:rPr>
          <w:rFonts w:ascii="Times New Roman" w:eastAsia="Times New Roman" w:hAnsi="Times New Roman" w:cs="Times New Roman"/>
          <w:highlight w:val="white"/>
        </w:rPr>
        <w:t>WHEREAS, the Parties are willing to engage in sale of the Patents according to the terms and conditions set forth herein.</w:t>
      </w:r>
    </w:p>
    <w:p w:rsidR="00A10DFA" w:rsidRDefault="00A10DFA" w:rsidP="00A10DFA">
      <w:pPr>
        <w:pStyle w:val="normal0"/>
        <w:spacing w:after="120"/>
      </w:pPr>
    </w:p>
    <w:p w:rsidR="00A10DFA" w:rsidRDefault="00A10DFA" w:rsidP="00A10DFA">
      <w:pPr>
        <w:pStyle w:val="normal0"/>
        <w:spacing w:after="120"/>
      </w:pPr>
      <w:r>
        <w:rPr>
          <w:rFonts w:ascii="Times New Roman" w:eastAsia="Times New Roman" w:hAnsi="Times New Roman" w:cs="Times New Roman"/>
          <w:b/>
        </w:rPr>
        <w:t>Term:</w:t>
      </w:r>
    </w:p>
    <w:p w:rsidR="00A10DFA" w:rsidRDefault="00A10DFA" w:rsidP="00A10DFA">
      <w:pPr>
        <w:pStyle w:val="normal0"/>
        <w:spacing w:after="120"/>
      </w:pPr>
      <w:r>
        <w:rPr>
          <w:rFonts w:ascii="Times New Roman" w:eastAsia="Times New Roman" w:hAnsi="Times New Roman" w:cs="Times New Roman"/>
        </w:rPr>
        <w:t xml:space="preserve">If within 100 days from signing the PPA,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 xml:space="preserve"> does not inform Seller that the due diligence was completed successfully, the PPA will expire.</w:t>
      </w:r>
    </w:p>
    <w:p w:rsidR="00A10DFA" w:rsidRDefault="00A10DFA" w:rsidP="00A10DFA">
      <w:pPr>
        <w:pStyle w:val="normal0"/>
        <w:spacing w:after="120"/>
      </w:pPr>
      <w:r>
        <w:rPr>
          <w:rFonts w:ascii="Times New Roman" w:eastAsia="Times New Roman" w:hAnsi="Times New Roman" w:cs="Times New Roman"/>
        </w:rPr>
        <w:t xml:space="preserve"> </w:t>
      </w:r>
    </w:p>
    <w:p w:rsidR="00A10DFA" w:rsidRDefault="00A10DFA" w:rsidP="00A10DFA">
      <w:pPr>
        <w:pStyle w:val="normal0"/>
        <w:widowControl w:val="0"/>
        <w:spacing w:after="120"/>
      </w:pPr>
      <w:r>
        <w:rPr>
          <w:rFonts w:ascii="Times New Roman" w:eastAsia="Times New Roman" w:hAnsi="Times New Roman" w:cs="Times New Roman"/>
          <w:b/>
        </w:rPr>
        <w:t>Acquisition:</w:t>
      </w:r>
    </w:p>
    <w:p w:rsidR="00A10DFA" w:rsidRDefault="00A10DFA" w:rsidP="00A10DFA">
      <w:pPr>
        <w:pStyle w:val="normal0"/>
        <w:widowControl w:val="0"/>
        <w:spacing w:after="120"/>
      </w:pPr>
      <w:r>
        <w:rPr>
          <w:rFonts w:ascii="Times New Roman" w:eastAsia="Times New Roman" w:hAnsi="Times New Roman" w:cs="Times New Roman"/>
          <w:highlight w:val="white"/>
        </w:rPr>
        <w:t xml:space="preserve">The rights to the Patents will be conveyed from Seller to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SynPat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in two steps:</w:t>
      </w:r>
      <w:r>
        <w:rPr>
          <w:rFonts w:ascii="Times New Roman" w:eastAsia="Times New Roman" w:hAnsi="Times New Roman" w:cs="Times New Roman"/>
        </w:rPr>
        <w:t xml:space="preserve"> </w:t>
      </w:r>
    </w:p>
    <w:p w:rsidR="00A10DFA" w:rsidRDefault="00A10DFA" w:rsidP="00A10DFA">
      <w:pPr>
        <w:pStyle w:val="normal0"/>
        <w:widowControl w:val="0"/>
        <w:numPr>
          <w:ilvl w:val="0"/>
          <w:numId w:val="2"/>
        </w:numPr>
        <w:spacing w:after="12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Upon </w:t>
      </w:r>
      <w:proofErr w:type="spellStart"/>
      <w:r>
        <w:rPr>
          <w:rFonts w:ascii="Times New Roman" w:eastAsia="Times New Roman" w:hAnsi="Times New Roman" w:cs="Times New Roman"/>
        </w:rPr>
        <w:t>SynPat’s</w:t>
      </w:r>
      <w:proofErr w:type="spellEnd"/>
      <w:r>
        <w:rPr>
          <w:rFonts w:ascii="Times New Roman" w:eastAsia="Times New Roman" w:hAnsi="Times New Roman" w:cs="Times New Roman"/>
        </w:rPr>
        <w:t xml:space="preserve"> notice to Seller that the due diligence was completed successfully,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 xml:space="preserve"> will be conveyed the exclusive right to grant licenses under the Patents.</w:t>
      </w:r>
    </w:p>
    <w:p w:rsidR="00A10DFA" w:rsidRDefault="00A10DFA" w:rsidP="00A10DFA">
      <w:pPr>
        <w:pStyle w:val="normal0"/>
        <w:widowControl w:val="0"/>
        <w:numPr>
          <w:ilvl w:val="0"/>
          <w:numId w:val="2"/>
        </w:numPr>
        <w:spacing w:after="12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Within 7 days from </w:t>
      </w:r>
      <w:proofErr w:type="spellStart"/>
      <w:r>
        <w:rPr>
          <w:rFonts w:ascii="Times New Roman" w:eastAsia="Times New Roman" w:hAnsi="Times New Roman" w:cs="Times New Roman"/>
        </w:rPr>
        <w:t>SynPat’s</w:t>
      </w:r>
      <w:proofErr w:type="spellEnd"/>
      <w:r>
        <w:rPr>
          <w:rFonts w:ascii="Times New Roman" w:eastAsia="Times New Roman" w:hAnsi="Times New Roman" w:cs="Times New Roman"/>
        </w:rPr>
        <w:t xml:space="preserve"> notice of successful due diligence, Seller will be paid  $____3,000,000____ (the “Upfront Price”), and upon such payment,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 xml:space="preserve"> will be conveyed all other rights including title to the Patents (the “Closing”).</w:t>
      </w:r>
    </w:p>
    <w:p w:rsidR="00A10DFA" w:rsidRDefault="00A10DFA" w:rsidP="00A10DFA">
      <w:pPr>
        <w:pStyle w:val="normal0"/>
        <w:widowControl w:val="0"/>
        <w:spacing w:after="120"/>
      </w:pPr>
      <w:r>
        <w:rPr>
          <w:rFonts w:ascii="Times New Roman" w:eastAsia="Times New Roman" w:hAnsi="Times New Roman" w:cs="Times New Roman"/>
        </w:rPr>
        <w:t xml:space="preserve">In addition to the Upfront Price, Seller will receive from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one-third (1/3) of</w:t>
      </w:r>
      <w:r>
        <w:rPr>
          <w:rFonts w:ascii="Times New Roman" w:eastAsia="Times New Roman" w:hAnsi="Times New Roman" w:cs="Times New Roman"/>
        </w:rPr>
        <w:t xml:space="preserve"> any amount received by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 xml:space="preserve"> during the Regular and the Risk Averse licensing stages, and also from any sale of the Patents (“Royalty Payments”).</w:t>
      </w:r>
    </w:p>
    <w:p w:rsidR="00A10DFA" w:rsidRDefault="00A10DFA" w:rsidP="00A10DFA">
      <w:pPr>
        <w:pStyle w:val="normal0"/>
        <w:widowControl w:val="0"/>
        <w:spacing w:after="120"/>
      </w:pPr>
    </w:p>
    <w:p w:rsidR="00A10DFA" w:rsidRDefault="00A10DFA" w:rsidP="00A10DFA">
      <w:pPr>
        <w:pStyle w:val="normal0"/>
        <w:widowControl w:val="0"/>
        <w:spacing w:after="120"/>
      </w:pPr>
      <w:r>
        <w:rPr>
          <w:rFonts w:ascii="Times New Roman" w:eastAsia="Times New Roman" w:hAnsi="Times New Roman" w:cs="Times New Roman"/>
          <w:b/>
        </w:rPr>
        <w:t>Cost Licensing:</w:t>
      </w:r>
    </w:p>
    <w:p w:rsidR="00A10DFA" w:rsidRDefault="00A10DFA" w:rsidP="00A10DFA">
      <w:pPr>
        <w:pStyle w:val="normal0"/>
        <w:widowControl w:val="0"/>
        <w:spacing w:after="120" w:line="240" w:lineRule="auto"/>
      </w:pPr>
      <w:r>
        <w:rPr>
          <w:rFonts w:ascii="Times New Roman" w:eastAsia="Times New Roman" w:hAnsi="Times New Roman" w:cs="Times New Roman"/>
        </w:rPr>
        <w:t xml:space="preserve">During the 100-day diligence period,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 xml:space="preserve"> will offer operating companies to join an ad-hoc syndicate to fund the Upfront Price and to receive from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A10DFA" w:rsidRDefault="00A10DFA" w:rsidP="00A10DFA">
      <w:pPr>
        <w:pStyle w:val="normal0"/>
        <w:widowControl w:val="0"/>
        <w:numPr>
          <w:ilvl w:val="0"/>
          <w:numId w:val="3"/>
        </w:numPr>
        <w:spacing w:after="120"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non-exclusive license under the Patents, and</w:t>
      </w:r>
    </w:p>
    <w:p w:rsidR="00A10DFA" w:rsidRDefault="00A10DFA" w:rsidP="00A10DFA">
      <w:pPr>
        <w:pStyle w:val="normal0"/>
        <w:widowControl w:val="0"/>
        <w:numPr>
          <w:ilvl w:val="0"/>
          <w:numId w:val="3"/>
        </w:numPr>
        <w:spacing w:after="120"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option to acquire exclusive rights to sub-license a designated third party of their choice, and</w:t>
      </w:r>
    </w:p>
    <w:p w:rsidR="00A10DFA" w:rsidRDefault="00A10DFA" w:rsidP="00A10DFA">
      <w:pPr>
        <w:pStyle w:val="normal0"/>
        <w:widowControl w:val="0"/>
        <w:numPr>
          <w:ilvl w:val="0"/>
          <w:numId w:val="3"/>
        </w:numPr>
        <w:spacing w:after="120"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 amount equal to the Royalty Payments, which will be equally divided among  the accepting companies (“Participants”).  </w:t>
      </w:r>
    </w:p>
    <w:p w:rsidR="00A10DFA" w:rsidRDefault="00A10DFA" w:rsidP="00A10DFA">
      <w:pPr>
        <w:pStyle w:val="normal0"/>
        <w:widowControl w:val="0"/>
        <w:spacing w:after="120" w:line="240" w:lineRule="auto"/>
      </w:pPr>
      <w:r>
        <w:rPr>
          <w:rFonts w:ascii="Times New Roman" w:eastAsia="Times New Roman" w:hAnsi="Times New Roman" w:cs="Times New Roman"/>
        </w:rPr>
        <w:t>Each Participant will pay directly to Seller an amount equal to the Upfront Price divided by the number of accepting companies (“Cost Price”).</w:t>
      </w:r>
    </w:p>
    <w:p w:rsidR="00A10DFA" w:rsidRDefault="00A10DFA" w:rsidP="00A10DFA">
      <w:pPr>
        <w:pStyle w:val="normal0"/>
        <w:widowControl w:val="0"/>
        <w:spacing w:after="120"/>
      </w:pPr>
      <w:r>
        <w:rPr>
          <w:rFonts w:ascii="Times New Roman" w:eastAsia="Times New Roman" w:hAnsi="Times New Roman" w:cs="Times New Roman"/>
        </w:rPr>
        <w:t xml:space="preserve">In the event the addressable market is less responsive than expected and does not timely react to the opportunity to fund the acquisition,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 xml:space="preserve"> may decide to include funds from financial sources.</w:t>
      </w:r>
    </w:p>
    <w:p w:rsidR="00A10DFA" w:rsidRDefault="00A10DFA" w:rsidP="00A10DFA">
      <w:pPr>
        <w:pStyle w:val="normal0"/>
        <w:widowControl w:val="0"/>
        <w:spacing w:after="120"/>
      </w:pPr>
    </w:p>
    <w:p w:rsidR="00A10DFA" w:rsidRDefault="00A10DFA" w:rsidP="00A10DFA">
      <w:pPr>
        <w:pStyle w:val="normal0"/>
        <w:widowControl w:val="0"/>
        <w:spacing w:after="120"/>
      </w:pPr>
      <w:r>
        <w:rPr>
          <w:rFonts w:ascii="Times New Roman" w:eastAsia="Times New Roman" w:hAnsi="Times New Roman" w:cs="Times New Roman"/>
          <w:b/>
        </w:rPr>
        <w:t>Regular Licensing:</w:t>
      </w:r>
    </w:p>
    <w:p w:rsidR="00A10DFA" w:rsidRDefault="00A10DFA" w:rsidP="00A10DFA">
      <w:pPr>
        <w:pStyle w:val="normal0"/>
        <w:widowControl w:val="0"/>
        <w:spacing w:after="120"/>
      </w:pPr>
      <w:r>
        <w:rPr>
          <w:rFonts w:ascii="Times New Roman" w:eastAsia="Times New Roman" w:hAnsi="Times New Roman" w:cs="Times New Roman"/>
        </w:rPr>
        <w:t xml:space="preserve">During the four (4) month period following the Closing (“Regular Licensing”),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 xml:space="preserve"> will offer licenses under the Patents at 50% markup on top of the Cost Price, </w:t>
      </w:r>
      <w:proofErr w:type="spellStart"/>
      <w:r>
        <w:rPr>
          <w:rFonts w:ascii="Times New Roman" w:eastAsia="Times New Roman" w:hAnsi="Times New Roman" w:cs="Times New Roman"/>
        </w:rPr>
        <w:t>i.e</w:t>
      </w:r>
      <w:proofErr w:type="spellEnd"/>
      <w:r>
        <w:rPr>
          <w:rFonts w:ascii="Times New Roman" w:eastAsia="Times New Roman" w:hAnsi="Times New Roman" w:cs="Times New Roman"/>
        </w:rPr>
        <w:t>, at a price equal to 1.5 x Cost Price (“Regular Price”).</w:t>
      </w:r>
    </w:p>
    <w:p w:rsidR="00A10DFA" w:rsidRDefault="00A10DFA" w:rsidP="00A10DFA">
      <w:pPr>
        <w:pStyle w:val="normal0"/>
        <w:widowControl w:val="0"/>
        <w:spacing w:after="120"/>
      </w:pPr>
    </w:p>
    <w:p w:rsidR="00A10DFA" w:rsidRDefault="00A10DFA" w:rsidP="00A10DFA">
      <w:pPr>
        <w:pStyle w:val="normal0"/>
        <w:widowControl w:val="0"/>
        <w:spacing w:after="120"/>
      </w:pPr>
      <w:r>
        <w:rPr>
          <w:rFonts w:ascii="Times New Roman" w:eastAsia="Times New Roman" w:hAnsi="Times New Roman" w:cs="Times New Roman"/>
          <w:b/>
        </w:rPr>
        <w:t>Risk Averse Licensing:</w:t>
      </w:r>
    </w:p>
    <w:p w:rsidR="00A10DFA" w:rsidRDefault="00A10DFA" w:rsidP="00A10DFA">
      <w:pPr>
        <w:pStyle w:val="normal0"/>
        <w:spacing w:after="120"/>
      </w:pPr>
      <w:r>
        <w:rPr>
          <w:rFonts w:ascii="Times New Roman" w:eastAsia="Times New Roman" w:hAnsi="Times New Roman" w:cs="Times New Roman"/>
        </w:rPr>
        <w:t xml:space="preserve">After the four (4) month Regular Licensing stage (“Risk Averse Licensing”),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 xml:space="preserve"> will offer licenses under the Patents at a premium price, equal to twice the Regular Price (“Validated Price”), reflecting the market’s acknowledgment and validation of the Patents.</w:t>
      </w:r>
    </w:p>
    <w:p w:rsidR="00A10DFA" w:rsidRDefault="00A10DFA" w:rsidP="00A10DFA">
      <w:pPr>
        <w:pStyle w:val="normal0"/>
        <w:spacing w:after="120"/>
      </w:pPr>
    </w:p>
    <w:p w:rsidR="00A10DFA" w:rsidRDefault="00A10DFA" w:rsidP="00A10DFA">
      <w:pPr>
        <w:pStyle w:val="normal0"/>
        <w:spacing w:after="120"/>
      </w:pPr>
      <w:r>
        <w:rPr>
          <w:rFonts w:ascii="Times New Roman" w:eastAsia="Times New Roman" w:hAnsi="Times New Roman" w:cs="Times New Roman"/>
          <w:b/>
        </w:rPr>
        <w:t>Sale:</w:t>
      </w:r>
    </w:p>
    <w:p w:rsidR="00A10DFA" w:rsidRDefault="00A10DFA" w:rsidP="00A10DFA">
      <w:pPr>
        <w:pStyle w:val="normal0"/>
        <w:spacing w:after="120"/>
      </w:pPr>
      <w:r>
        <w:rPr>
          <w:rFonts w:ascii="Times New Roman" w:eastAsia="Times New Roman" w:hAnsi="Times New Roman" w:cs="Times New Roman"/>
        </w:rPr>
        <w:t xml:space="preserve">During the Risk Averse Licensing stage,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 xml:space="preserve"> will be permitted to sell the Patents, and the Patents might be asserted against “free riders” (companies to whom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 xml:space="preserve"> presents evidence of clear infringement, and yet, despite the offered opportunities to acquire a license under the Patents, such companies disregard the offers without challenging the evidence of use against them).</w:t>
      </w:r>
    </w:p>
    <w:p w:rsidR="00A10DFA" w:rsidRDefault="00A10DFA" w:rsidP="00A10DFA">
      <w:pPr>
        <w:pStyle w:val="normal0"/>
        <w:spacing w:after="120"/>
      </w:pPr>
      <w:r>
        <w:rPr>
          <w:rFonts w:ascii="Times New Roman" w:eastAsia="Times New Roman" w:hAnsi="Times New Roman" w:cs="Times New Roman"/>
        </w:rPr>
        <w:t xml:space="preserve">Seller is entitled to mandate </w:t>
      </w:r>
      <w:r>
        <w:rPr>
          <w:rFonts w:ascii="Times New Roman" w:eastAsia="Times New Roman" w:hAnsi="Times New Roman" w:cs="Times New Roman"/>
          <w:i/>
        </w:rPr>
        <w:t>a priori</w:t>
      </w:r>
      <w:r>
        <w:rPr>
          <w:rFonts w:ascii="Times New Roman" w:eastAsia="Times New Roman" w:hAnsi="Times New Roman" w:cs="Times New Roman"/>
        </w:rPr>
        <w:t xml:space="preserve"> that after such a sale of the Patents by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>, the Patents will not be asserted against free riders or any designated companies.</w:t>
      </w:r>
    </w:p>
    <w:p w:rsidR="00A10DFA" w:rsidRDefault="00A10DFA" w:rsidP="00A10DFA">
      <w:pPr>
        <w:pStyle w:val="normal0"/>
        <w:spacing w:after="120"/>
      </w:pPr>
    </w:p>
    <w:p w:rsidR="00A10DFA" w:rsidRDefault="00A10DFA" w:rsidP="00A10DFA">
      <w:pPr>
        <w:pStyle w:val="normal0"/>
        <w:spacing w:after="120"/>
      </w:pPr>
      <w:r>
        <w:rPr>
          <w:rFonts w:ascii="Times New Roman" w:eastAsia="Times New Roman" w:hAnsi="Times New Roman" w:cs="Times New Roman"/>
          <w:b/>
        </w:rPr>
        <w:t>Confidentiality:</w:t>
      </w:r>
    </w:p>
    <w:p w:rsidR="00A10DFA" w:rsidRDefault="00A10DFA" w:rsidP="00A10DFA">
      <w:pPr>
        <w:pStyle w:val="normal0"/>
      </w:pPr>
      <w:r>
        <w:rPr>
          <w:rFonts w:ascii="Times New Roman" w:eastAsia="Times New Roman" w:hAnsi="Times New Roman" w:cs="Times New Roman"/>
        </w:rPr>
        <w:t xml:space="preserve">The terms included herein are deemed confidential and subject to the Non-Disclosure Agreement in existence between </w:t>
      </w:r>
      <w:proofErr w:type="spellStart"/>
      <w:r>
        <w:rPr>
          <w:rFonts w:ascii="Times New Roman" w:eastAsia="Times New Roman" w:hAnsi="Times New Roman" w:cs="Times New Roman"/>
        </w:rPr>
        <w:t>SynPat</w:t>
      </w:r>
      <w:proofErr w:type="spellEnd"/>
      <w:r>
        <w:rPr>
          <w:rFonts w:ascii="Times New Roman" w:eastAsia="Times New Roman" w:hAnsi="Times New Roman" w:cs="Times New Roman"/>
        </w:rPr>
        <w:t xml:space="preserve"> and Seller.</w:t>
      </w:r>
      <w:r>
        <w:br w:type="page"/>
      </w:r>
    </w:p>
    <w:p w:rsidR="00A10DFA" w:rsidRDefault="00A10DFA" w:rsidP="00A10DFA">
      <w:pPr>
        <w:pStyle w:val="normal0"/>
        <w:spacing w:after="120"/>
      </w:pPr>
    </w:p>
    <w:p w:rsidR="00A10DFA" w:rsidRDefault="00A10DFA" w:rsidP="00A10DFA">
      <w:pPr>
        <w:pStyle w:val="normal0"/>
        <w:spacing w:after="120"/>
      </w:pPr>
      <w:r>
        <w:rPr>
          <w:rFonts w:ascii="Times New Roman" w:eastAsia="Times New Roman" w:hAnsi="Times New Roman" w:cs="Times New Roman"/>
          <w:b/>
        </w:rPr>
        <w:t>EXAMPLE</w:t>
      </w:r>
    </w:p>
    <w:p w:rsidR="00A10DFA" w:rsidRDefault="00A10DFA" w:rsidP="00A10DFA">
      <w:pPr>
        <w:pStyle w:val="normal0"/>
        <w:spacing w:after="120"/>
      </w:pPr>
      <w:r>
        <w:rPr>
          <w:rFonts w:ascii="Times New Roman" w:eastAsia="Times New Roman" w:hAnsi="Times New Roman" w:cs="Times New Roman"/>
        </w:rPr>
        <w:t>The following example demonstrates a typical scenario where the agreed Upfront Price is $7.5M and an addressable market of 10 licensees divided as follows:</w:t>
      </w:r>
    </w:p>
    <w:p w:rsidR="00A10DFA" w:rsidRDefault="00A10DFA" w:rsidP="00A10DFA">
      <w:pPr>
        <w:pStyle w:val="normal0"/>
        <w:numPr>
          <w:ilvl w:val="0"/>
          <w:numId w:val="1"/>
        </w:numPr>
        <w:spacing w:after="12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first 100 days: 30% of the market (3 Participants) will share a $3M Upfront Price, each pays $1M.</w:t>
      </w:r>
    </w:p>
    <w:p w:rsidR="00A10DFA" w:rsidRDefault="00A10DFA" w:rsidP="00A10DFA">
      <w:pPr>
        <w:pStyle w:val="normal0"/>
        <w:numPr>
          <w:ilvl w:val="0"/>
          <w:numId w:val="1"/>
        </w:numPr>
        <w:spacing w:after="12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Within 4 months thereafter: 50% of the market (5 Regular Licensees) will acquire licenses at $1.5M each.</w:t>
      </w:r>
    </w:p>
    <w:p w:rsidR="00A10DFA" w:rsidRDefault="00A10DFA" w:rsidP="00A10DFA">
      <w:pPr>
        <w:pStyle w:val="normal0"/>
        <w:numPr>
          <w:ilvl w:val="0"/>
          <w:numId w:val="1"/>
        </w:numPr>
        <w:spacing w:after="12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Thereafter: 20% of the market (2 Risk Averse Licensees) will acquire licenses at $3M each.</w:t>
      </w:r>
    </w:p>
    <w:p w:rsidR="00A10DFA" w:rsidRDefault="00A10DFA" w:rsidP="00A10DFA">
      <w:pPr>
        <w:pStyle w:val="normal0"/>
        <w:numPr>
          <w:ilvl w:val="0"/>
          <w:numId w:val="1"/>
        </w:numPr>
        <w:spacing w:after="12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total amount paid to Seller is $7.5M.</w:t>
      </w:r>
    </w:p>
    <w:p w:rsidR="00A10DFA" w:rsidRDefault="00A10DFA" w:rsidP="00A10DFA">
      <w:pPr>
        <w:pStyle w:val="normal0"/>
        <w:numPr>
          <w:ilvl w:val="0"/>
          <w:numId w:val="1"/>
        </w:numPr>
        <w:spacing w:after="12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total license cost for each Participant is negative $500K (a free license + $500K return) </w:t>
      </w:r>
    </w:p>
    <w:p w:rsidR="00A10DFA" w:rsidRDefault="00A10DFA" w:rsidP="00A10DFA">
      <w:pPr>
        <w:pStyle w:val="normal0"/>
        <w:spacing w:after="120"/>
      </w:pPr>
    </w:p>
    <w:p w:rsidR="00A10DFA" w:rsidRDefault="00A10DFA" w:rsidP="00A10DFA">
      <w:pPr>
        <w:pStyle w:val="normal0"/>
        <w:spacing w:after="120"/>
      </w:pPr>
      <w:r>
        <w:rPr>
          <w:noProof/>
        </w:rPr>
        <w:drawing>
          <wp:inline distT="0" distB="0" distL="0" distR="0" wp14:anchorId="065F664F" wp14:editId="14E49B66">
            <wp:extent cx="5943600" cy="2305723"/>
            <wp:effectExtent l="0" t="0" r="0" b="571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FA" w:rsidRDefault="00A10DFA" w:rsidP="00A10DFA">
      <w:pPr>
        <w:pStyle w:val="normal0"/>
        <w:spacing w:after="120"/>
      </w:pPr>
      <w:r>
        <w:rPr>
          <w:noProof/>
        </w:rPr>
        <w:drawing>
          <wp:inline distT="0" distB="0" distL="0" distR="0" wp14:anchorId="212A6276" wp14:editId="72100A80">
            <wp:extent cx="5943600" cy="2453193"/>
            <wp:effectExtent l="0" t="0" r="0" b="1079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FA" w:rsidRDefault="00A10DFA" w:rsidP="00A10DFA">
      <w:pPr>
        <w:pStyle w:val="normal0"/>
        <w:spacing w:after="120"/>
      </w:pPr>
      <w:r>
        <w:rPr>
          <w:rFonts w:ascii="Times New Roman" w:eastAsia="Times New Roman" w:hAnsi="Times New Roman" w:cs="Times New Roman"/>
        </w:rPr>
        <w:t xml:space="preserve">(Source: </w:t>
      </w:r>
      <w:hyperlink r:id="rId11">
        <w:r>
          <w:rPr>
            <w:rFonts w:ascii="Times New Roman" w:eastAsia="Times New Roman" w:hAnsi="Times New Roman" w:cs="Times New Roman"/>
            <w:color w:val="1155CC"/>
            <w:u w:val="single"/>
          </w:rPr>
          <w:t>www.synpat.com/patentees</w:t>
        </w:r>
      </w:hyperlink>
      <w:r>
        <w:rPr>
          <w:rFonts w:ascii="Times New Roman" w:eastAsia="Times New Roman" w:hAnsi="Times New Roman" w:cs="Times New Roman"/>
        </w:rPr>
        <w:t>)</w:t>
      </w:r>
    </w:p>
    <w:p w:rsidR="00A10DFA" w:rsidRDefault="00A10DFA">
      <w:pPr>
        <w:pStyle w:val="normal0"/>
        <w:spacing w:after="120"/>
      </w:pPr>
    </w:p>
    <w:sectPr w:rsidR="00A10DFA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AEB" w:rsidRDefault="00B24AEB">
      <w:pPr>
        <w:spacing w:after="0" w:line="240" w:lineRule="auto"/>
      </w:pPr>
      <w:r>
        <w:separator/>
      </w:r>
    </w:p>
  </w:endnote>
  <w:endnote w:type="continuationSeparator" w:id="0">
    <w:p w:rsidR="00B24AEB" w:rsidRDefault="00B24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AEB" w:rsidRDefault="00B24AEB">
    <w:pPr>
      <w:pStyle w:val="normal0"/>
      <w:jc w:val="both"/>
    </w:pPr>
    <w:proofErr w:type="spellStart"/>
    <w:r>
      <w:t>SynPat</w:t>
    </w:r>
    <w:proofErr w:type="spellEnd"/>
    <w:r>
      <w:t xml:space="preserve"> Term Sheet - Confidential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</w:t>
    </w:r>
    <w:r>
      <w:fldChar w:fldCharType="begin"/>
    </w:r>
    <w:r>
      <w:instrText>PAGE</w:instrText>
    </w:r>
    <w:r>
      <w:fldChar w:fldCharType="separate"/>
    </w:r>
    <w:r w:rsidR="00D20F7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AEB" w:rsidRDefault="00B24AEB">
    <w:pPr>
      <w:pStyle w:val="normal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AEB" w:rsidRDefault="00B24AEB">
      <w:pPr>
        <w:spacing w:after="0" w:line="240" w:lineRule="auto"/>
      </w:pPr>
      <w:r>
        <w:separator/>
      </w:r>
    </w:p>
  </w:footnote>
  <w:footnote w:type="continuationSeparator" w:id="0">
    <w:p w:rsidR="00B24AEB" w:rsidRDefault="00B24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AEB" w:rsidRDefault="00B24AEB">
    <w:pPr>
      <w:pStyle w:val="normal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D53F3"/>
    <w:multiLevelType w:val="multilevel"/>
    <w:tmpl w:val="BE880F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9D42EDF"/>
    <w:multiLevelType w:val="multilevel"/>
    <w:tmpl w:val="C3FE7B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BFB2D97"/>
    <w:multiLevelType w:val="multilevel"/>
    <w:tmpl w:val="7780FC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4747E"/>
    <w:rsid w:val="00794321"/>
    <w:rsid w:val="0080141E"/>
    <w:rsid w:val="00A10DFA"/>
    <w:rsid w:val="00B24AEB"/>
    <w:rsid w:val="00B4747E"/>
    <w:rsid w:val="00D2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atent-title">
    <w:name w:val="patent-title"/>
    <w:basedOn w:val="DefaultParagraphFont"/>
    <w:rsid w:val="0080141E"/>
  </w:style>
  <w:style w:type="paragraph" w:styleId="BalloonText">
    <w:name w:val="Balloon Text"/>
    <w:basedOn w:val="Normal"/>
    <w:link w:val="BalloonTextChar"/>
    <w:uiPriority w:val="99"/>
    <w:semiHidden/>
    <w:unhideWhenUsed/>
    <w:rsid w:val="0080141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41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atent-title">
    <w:name w:val="patent-title"/>
    <w:basedOn w:val="DefaultParagraphFont"/>
    <w:rsid w:val="0080141E"/>
  </w:style>
  <w:style w:type="paragraph" w:styleId="BalloonText">
    <w:name w:val="Balloon Text"/>
    <w:basedOn w:val="Normal"/>
    <w:link w:val="BalloonTextChar"/>
    <w:uiPriority w:val="99"/>
    <w:semiHidden/>
    <w:unhideWhenUsed/>
    <w:rsid w:val="0080141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41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ynpat.com/patentees" TargetMode="Externa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www.synpat.com/patente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1544</Words>
  <Characters>8802</Characters>
  <Application>Microsoft Macintosh Word</Application>
  <DocSecurity>0</DocSecurity>
  <Lines>73</Lines>
  <Paragraphs>20</Paragraphs>
  <ScaleCrop>false</ScaleCrop>
  <Company>EGLA COMMUNICATIONS</Company>
  <LinksUpToDate>false</LinksUpToDate>
  <CharactersWithSpaces>10326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Alcides Hernandez</cp:lastModifiedBy>
  <cp:revision>2</cp:revision>
  <dcterms:created xsi:type="dcterms:W3CDTF">2015-07-29T23:28:00Z</dcterms:created>
  <dcterms:modified xsi:type="dcterms:W3CDTF">2015-07-29T23:28:00Z</dcterms:modified>
</cp:coreProperties>
</file>