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6F7" w:rsidRPr="00F7163D" w:rsidRDefault="008366F7" w:rsidP="008366F7">
      <w:pPr>
        <w:jc w:val="center"/>
        <w:rPr>
          <w:rFonts w:ascii="Times New Roman" w:hAnsi="Times New Roman" w:cs="Times New Roman"/>
        </w:rPr>
      </w:pPr>
      <w:r w:rsidRPr="00F7163D">
        <w:rPr>
          <w:rFonts w:ascii="Times New Roman" w:hAnsi="Times New Roman" w:cs="Times New Roman"/>
        </w:rPr>
        <w:t>TERM SHEET</w:t>
      </w:r>
    </w:p>
    <w:p w:rsidR="008366F7" w:rsidRPr="00F7163D" w:rsidRDefault="008366F7" w:rsidP="008366F7">
      <w:pPr>
        <w:jc w:val="center"/>
        <w:rPr>
          <w:rFonts w:ascii="Times New Roman" w:hAnsi="Times New Roman" w:cs="Times New Roman"/>
        </w:rPr>
      </w:pPr>
      <w:r w:rsidRPr="00F7163D">
        <w:rPr>
          <w:rFonts w:ascii="Times New Roman" w:hAnsi="Times New Roman" w:cs="Times New Roman"/>
        </w:rPr>
        <w:t xml:space="preserve">SYNPAT </w:t>
      </w:r>
      <w:r>
        <w:rPr>
          <w:rFonts w:ascii="Times New Roman" w:hAnsi="Times New Roman" w:cs="Times New Roman"/>
        </w:rPr>
        <w:t>PROGRAM - ACQUISITION OF ___</w:t>
      </w:r>
      <w:r w:rsidRPr="00F7163D">
        <w:rPr>
          <w:rFonts w:ascii="Times New Roman" w:hAnsi="Times New Roman" w:cs="Times New Roman"/>
        </w:rPr>
        <w:t xml:space="preserve"> PATENTS, ______, 2012</w:t>
      </w:r>
    </w:p>
    <w:p w:rsidR="008366F7" w:rsidRPr="00F7163D" w:rsidRDefault="008366F7" w:rsidP="008366F7">
      <w:pPr>
        <w:rPr>
          <w:rFonts w:ascii="Times New Roman" w:hAnsi="Times New Roman" w:cs="Times New Roman"/>
        </w:rPr>
      </w:pPr>
      <w:r w:rsidRPr="00F7163D">
        <w:rPr>
          <w:rFonts w:ascii="Times New Roman" w:hAnsi="Times New Roman" w:cs="Times New Roman"/>
        </w:rPr>
        <w:t>The purpose of this Term Sheet is to f</w:t>
      </w:r>
      <w:r>
        <w:rPr>
          <w:rFonts w:ascii="Times New Roman" w:hAnsi="Times New Roman" w:cs="Times New Roman"/>
        </w:rPr>
        <w:t xml:space="preserve">acilitate </w:t>
      </w:r>
      <w:r w:rsidRPr="00F7163D">
        <w:rPr>
          <w:rFonts w:ascii="Times New Roman" w:hAnsi="Times New Roman" w:cs="Times New Roman"/>
        </w:rPr>
        <w:t>discussion</w:t>
      </w:r>
      <w:r>
        <w:rPr>
          <w:rFonts w:ascii="Times New Roman" w:hAnsi="Times New Roman" w:cs="Times New Roman"/>
        </w:rPr>
        <w:t>s</w:t>
      </w:r>
      <w:r w:rsidRPr="00F7163D">
        <w:rPr>
          <w:rFonts w:ascii="Times New Roman" w:hAnsi="Times New Roman" w:cs="Times New Roman"/>
        </w:rPr>
        <w:t xml:space="preserve"> between </w:t>
      </w:r>
      <w:r>
        <w:rPr>
          <w:rFonts w:ascii="Times New Roman" w:hAnsi="Times New Roman" w:cs="Times New Roman"/>
        </w:rPr>
        <w:t>Syndicated Patent Acquisitions Corp. (</w:t>
      </w:r>
      <w:r>
        <w:rPr>
          <w:rFonts w:ascii="Times New Roman" w:hAnsi="Times New Roman" w:cs="Times New Roman"/>
          <w:b/>
          <w:bCs/>
        </w:rPr>
        <w:t>“SynPat”</w:t>
      </w:r>
      <w:r>
        <w:rPr>
          <w:rFonts w:ascii="Times New Roman" w:hAnsi="Times New Roman" w:cs="Times New Roman"/>
        </w:rPr>
        <w:t>) and ________________ (</w:t>
      </w:r>
      <w:r>
        <w:rPr>
          <w:rFonts w:ascii="Times New Roman" w:hAnsi="Times New Roman" w:cs="Times New Roman"/>
          <w:b/>
          <w:bCs/>
        </w:rPr>
        <w:t>“Seller”</w:t>
      </w:r>
      <w:r>
        <w:rPr>
          <w:rFonts w:ascii="Times New Roman" w:hAnsi="Times New Roman" w:cs="Times New Roman"/>
        </w:rPr>
        <w:t xml:space="preserve">) </w:t>
      </w:r>
      <w:r w:rsidRPr="00F7163D">
        <w:rPr>
          <w:rFonts w:ascii="Times New Roman" w:hAnsi="Times New Roman" w:cs="Times New Roman"/>
        </w:rPr>
        <w:t xml:space="preserve">concerning the possible acquisition of certain </w:t>
      </w:r>
      <w:r>
        <w:rPr>
          <w:rFonts w:ascii="Times New Roman" w:hAnsi="Times New Roman" w:cs="Times New Roman"/>
        </w:rPr>
        <w:t xml:space="preserve">of </w:t>
      </w:r>
      <w:r w:rsidRPr="00F7163D">
        <w:rPr>
          <w:rFonts w:ascii="Times New Roman" w:hAnsi="Times New Roman" w:cs="Times New Roman"/>
        </w:rPr>
        <w:t>Seller’s patents by SynPat.  This Term Sheet does not constitute a binding proposal or offer by SynPat or Seller</w:t>
      </w:r>
      <w:r>
        <w:rPr>
          <w:rFonts w:ascii="Times New Roman" w:hAnsi="Times New Roman" w:cs="Times New Roman"/>
        </w:rPr>
        <w:t xml:space="preserve">, except as provided herein. </w:t>
      </w:r>
      <w:r w:rsidRPr="00F7163D">
        <w:rPr>
          <w:rFonts w:ascii="Times New Roman" w:hAnsi="Times New Roman" w:cs="Times New Roman"/>
        </w:rPr>
        <w:t xml:space="preserve"> </w:t>
      </w:r>
      <w:r>
        <w:rPr>
          <w:rFonts w:ascii="Times New Roman" w:hAnsi="Times New Roman" w:cs="Times New Roman"/>
        </w:rPr>
        <w:t>A binding purchase commitment</w:t>
      </w:r>
      <w:r w:rsidRPr="00E25768">
        <w:rPr>
          <w:rFonts w:ascii="Times New Roman" w:hAnsi="Times New Roman" w:cs="Times New Roman"/>
        </w:rPr>
        <w:t xml:space="preserve"> can only result</w:t>
      </w:r>
      <w:r>
        <w:rPr>
          <w:rFonts w:ascii="Times New Roman" w:hAnsi="Times New Roman" w:cs="Times New Roman"/>
        </w:rPr>
        <w:t xml:space="preserve"> from the execution</w:t>
      </w:r>
      <w:r w:rsidRPr="00E25768">
        <w:rPr>
          <w:rFonts w:ascii="Times New Roman" w:hAnsi="Times New Roman" w:cs="Times New Roman"/>
        </w:rPr>
        <w:t xml:space="preserve"> of a mutually satisfactory </w:t>
      </w:r>
      <w:r>
        <w:rPr>
          <w:rFonts w:ascii="Times New Roman" w:hAnsi="Times New Roman" w:cs="Times New Roman"/>
        </w:rPr>
        <w:t>Patent Purchase Agreement (</w:t>
      </w:r>
      <w:r>
        <w:rPr>
          <w:rFonts w:ascii="Times New Roman" w:hAnsi="Times New Roman" w:cs="Times New Roman"/>
          <w:b/>
          <w:bCs/>
        </w:rPr>
        <w:t>“PPA”</w:t>
      </w:r>
      <w:r>
        <w:rPr>
          <w:rFonts w:ascii="Times New Roman" w:hAnsi="Times New Roman" w:cs="Times New Roman"/>
        </w:rPr>
        <w:t>) between SynPat and Seller</w:t>
      </w:r>
      <w:r w:rsidRPr="00E25768">
        <w:rPr>
          <w:rFonts w:ascii="Times New Roman" w:hAnsi="Times New Roman" w:cs="Times New Roman"/>
        </w:rPr>
        <w:t xml:space="preserve"> </w:t>
      </w:r>
      <w:r>
        <w:rPr>
          <w:rFonts w:ascii="Times New Roman" w:hAnsi="Times New Roman" w:cs="Times New Roman"/>
        </w:rPr>
        <w:t>that</w:t>
      </w:r>
      <w:r w:rsidRPr="00E25768">
        <w:rPr>
          <w:rFonts w:ascii="Times New Roman" w:hAnsi="Times New Roman" w:cs="Times New Roman"/>
        </w:rPr>
        <w:t xml:space="preserve"> incorpora</w:t>
      </w:r>
      <w:r>
        <w:rPr>
          <w:rFonts w:ascii="Times New Roman" w:hAnsi="Times New Roman" w:cs="Times New Roman"/>
        </w:rPr>
        <w:t>tes the terms of this Term Sheet, except as such terms may be modified by mutual agreement.  Notwithstanding the foregoing, in</w:t>
      </w:r>
      <w:r w:rsidRPr="00F7163D">
        <w:rPr>
          <w:rFonts w:ascii="Times New Roman" w:hAnsi="Times New Roman" w:cs="Times New Roman"/>
        </w:rPr>
        <w:t xml:space="preserve"> consideration of the time and expense devoted</w:t>
      </w:r>
      <w:r>
        <w:rPr>
          <w:rFonts w:ascii="Times New Roman" w:hAnsi="Times New Roman" w:cs="Times New Roman"/>
        </w:rPr>
        <w:t>,</w:t>
      </w:r>
      <w:r w:rsidRPr="00F7163D">
        <w:rPr>
          <w:rFonts w:ascii="Times New Roman" w:hAnsi="Times New Roman" w:cs="Times New Roman"/>
        </w:rPr>
        <w:t xml:space="preserve"> and to be devoted</w:t>
      </w:r>
      <w:r>
        <w:rPr>
          <w:rFonts w:ascii="Times New Roman" w:hAnsi="Times New Roman" w:cs="Times New Roman"/>
        </w:rPr>
        <w:t>,</w:t>
      </w:r>
      <w:r w:rsidRPr="00F7163D">
        <w:rPr>
          <w:rFonts w:ascii="Times New Roman" w:hAnsi="Times New Roman" w:cs="Times New Roman"/>
        </w:rPr>
        <w:t xml:space="preserve"> </w:t>
      </w:r>
      <w:r>
        <w:rPr>
          <w:rFonts w:ascii="Times New Roman" w:hAnsi="Times New Roman" w:cs="Times New Roman"/>
        </w:rPr>
        <w:t>to these negotiations</w:t>
      </w:r>
      <w:r w:rsidRPr="00F7163D">
        <w:rPr>
          <w:rFonts w:ascii="Times New Roman" w:hAnsi="Times New Roman" w:cs="Times New Roman"/>
        </w:rPr>
        <w:t xml:space="preserve">, the </w:t>
      </w:r>
      <w:r>
        <w:rPr>
          <w:rFonts w:ascii="Times New Roman" w:hAnsi="Times New Roman" w:cs="Times New Roman"/>
        </w:rPr>
        <w:t xml:space="preserve">Exclusivity and </w:t>
      </w:r>
      <w:r w:rsidRPr="00F7163D">
        <w:rPr>
          <w:rFonts w:ascii="Times New Roman" w:hAnsi="Times New Roman" w:cs="Times New Roman"/>
        </w:rPr>
        <w:t>Confidentiality</w:t>
      </w:r>
      <w:r>
        <w:rPr>
          <w:rFonts w:ascii="Times New Roman" w:hAnsi="Times New Roman" w:cs="Times New Roman"/>
        </w:rPr>
        <w:t xml:space="preserve"> </w:t>
      </w:r>
      <w:r w:rsidRPr="00F7163D">
        <w:rPr>
          <w:rFonts w:ascii="Times New Roman" w:hAnsi="Times New Roman" w:cs="Times New Roman"/>
        </w:rPr>
        <w:t>provision</w:t>
      </w:r>
      <w:r>
        <w:rPr>
          <w:rFonts w:ascii="Times New Roman" w:hAnsi="Times New Roman" w:cs="Times New Roman"/>
        </w:rPr>
        <w:t>s</w:t>
      </w:r>
      <w:r w:rsidRPr="00F7163D">
        <w:rPr>
          <w:rFonts w:ascii="Times New Roman" w:hAnsi="Times New Roman" w:cs="Times New Roman"/>
        </w:rPr>
        <w:t xml:space="preserve"> hereunder shall be binding </w:t>
      </w:r>
      <w:r>
        <w:rPr>
          <w:rFonts w:ascii="Times New Roman" w:hAnsi="Times New Roman" w:cs="Times New Roman"/>
        </w:rPr>
        <w:t xml:space="preserve">on the parties </w:t>
      </w:r>
      <w:r w:rsidRPr="00F7163D">
        <w:rPr>
          <w:rFonts w:ascii="Times New Roman" w:hAnsi="Times New Roman" w:cs="Times New Roman"/>
        </w:rPr>
        <w:t>wheth</w:t>
      </w:r>
      <w:r>
        <w:rPr>
          <w:rFonts w:ascii="Times New Roman" w:hAnsi="Times New Roman" w:cs="Times New Roman"/>
        </w:rPr>
        <w:t>er or not a PPA</w:t>
      </w:r>
      <w:r w:rsidRPr="00F7163D">
        <w:rPr>
          <w:rFonts w:ascii="Times New Roman" w:hAnsi="Times New Roman" w:cs="Times New Roman"/>
        </w:rPr>
        <w:t xml:space="preserve"> is executed.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16" w:type="dxa"/>
          <w:right w:w="115" w:type="dxa"/>
        </w:tblCellMar>
        <w:tblLook w:val="04A0"/>
      </w:tblPr>
      <w:tblGrid>
        <w:gridCol w:w="1735"/>
        <w:gridCol w:w="7855"/>
      </w:tblGrid>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t>Acquisition:</w:t>
            </w:r>
          </w:p>
        </w:tc>
        <w:tc>
          <w:tcPr>
            <w:tcW w:w="785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 xml:space="preserve">SynPat will acquire from Seller all </w:t>
            </w:r>
            <w:r>
              <w:rPr>
                <w:rFonts w:ascii="Times New Roman" w:hAnsi="Times New Roman" w:cs="Times New Roman"/>
              </w:rPr>
              <w:t xml:space="preserve">of </w:t>
            </w:r>
            <w:r w:rsidRPr="00F7163D">
              <w:rPr>
                <w:rFonts w:ascii="Times New Roman" w:hAnsi="Times New Roman" w:cs="Times New Roman"/>
              </w:rPr>
              <w:t xml:space="preserve">the patents and patent applications listed in Appendix A </w:t>
            </w:r>
            <w:r>
              <w:rPr>
                <w:rFonts w:ascii="Times New Roman" w:hAnsi="Times New Roman" w:cs="Times New Roman"/>
              </w:rPr>
              <w:t>together with</w:t>
            </w:r>
            <w:r w:rsidRPr="00F7163D">
              <w:rPr>
                <w:rFonts w:ascii="Times New Roman" w:hAnsi="Times New Roman" w:cs="Times New Roman"/>
              </w:rPr>
              <w:t xml:space="preserve"> their foreign counterparts (</w:t>
            </w:r>
            <w:r w:rsidRPr="00E25768">
              <w:rPr>
                <w:rFonts w:ascii="Times New Roman" w:hAnsi="Times New Roman" w:cs="Times New Roman"/>
                <w:b/>
                <w:bCs/>
              </w:rPr>
              <w:t>“Patents</w:t>
            </w:r>
            <w:r>
              <w:rPr>
                <w:rFonts w:ascii="Times New Roman" w:hAnsi="Times New Roman" w:cs="Times New Roman"/>
                <w:b/>
                <w:bCs/>
              </w:rPr>
              <w:t>”</w:t>
            </w:r>
            <w:r w:rsidRPr="00F7163D">
              <w:rPr>
                <w:rFonts w:ascii="Times New Roman" w:hAnsi="Times New Roman" w:cs="Times New Roman"/>
              </w:rPr>
              <w:t>).</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t>Consideration:</w:t>
            </w:r>
          </w:p>
        </w:tc>
        <w:tc>
          <w:tcPr>
            <w:tcW w:w="7855" w:type="dxa"/>
          </w:tcPr>
          <w:p w:rsidR="008366F7" w:rsidRDefault="008366F7" w:rsidP="00363261">
            <w:pPr>
              <w:rPr>
                <w:rFonts w:ascii="Times New Roman" w:hAnsi="Times New Roman" w:cs="Times New Roman"/>
              </w:rPr>
            </w:pPr>
            <w:r>
              <w:rPr>
                <w:rFonts w:ascii="Times New Roman" w:hAnsi="Times New Roman" w:cs="Times New Roman"/>
              </w:rPr>
              <w:t>As</w:t>
            </w:r>
            <w:r w:rsidRPr="00F7163D">
              <w:rPr>
                <w:rFonts w:ascii="Times New Roman" w:hAnsi="Times New Roman" w:cs="Times New Roman"/>
              </w:rPr>
              <w:t xml:space="preserve"> </w:t>
            </w:r>
            <w:r>
              <w:rPr>
                <w:rFonts w:ascii="Times New Roman" w:hAnsi="Times New Roman" w:cs="Times New Roman"/>
              </w:rPr>
              <w:t>compensation</w:t>
            </w:r>
            <w:r w:rsidRPr="00F7163D">
              <w:rPr>
                <w:rFonts w:ascii="Times New Roman" w:hAnsi="Times New Roman" w:cs="Times New Roman"/>
              </w:rPr>
              <w:t xml:space="preserve"> for the </w:t>
            </w:r>
            <w:r>
              <w:rPr>
                <w:rFonts w:ascii="Times New Roman" w:hAnsi="Times New Roman" w:cs="Times New Roman"/>
              </w:rPr>
              <w:t xml:space="preserve">sale of the </w:t>
            </w:r>
            <w:r w:rsidRPr="00F7163D">
              <w:rPr>
                <w:rFonts w:ascii="Times New Roman" w:hAnsi="Times New Roman" w:cs="Times New Roman"/>
              </w:rPr>
              <w:t>Patents, Seller shall be entitled to both:</w:t>
            </w:r>
          </w:p>
          <w:p w:rsidR="008366F7" w:rsidRDefault="0020495F" w:rsidP="00363261">
            <w:pPr>
              <w:rPr>
                <w:rFonts w:ascii="Times New Roman" w:hAnsi="Times New Roman" w:cs="Times New Roman"/>
              </w:rPr>
            </w:pPr>
            <w:r>
              <w:rPr>
                <w:rFonts w:ascii="Times New Roman" w:hAnsi="Times New Roman" w:cs="Times New Roman"/>
              </w:rPr>
              <w:t>1. the Purchase Price</w:t>
            </w:r>
            <w:r w:rsidR="008366F7" w:rsidRPr="00F7163D">
              <w:rPr>
                <w:rFonts w:ascii="Times New Roman" w:hAnsi="Times New Roman" w:cs="Times New Roman"/>
              </w:rPr>
              <w:t xml:space="preserve"> as defined in Appendix B, which will be paid at Closing</w:t>
            </w:r>
            <w:r w:rsidR="008366F7">
              <w:rPr>
                <w:rFonts w:ascii="Times New Roman" w:hAnsi="Times New Roman" w:cs="Times New Roman"/>
              </w:rPr>
              <w:t>, and</w:t>
            </w:r>
          </w:p>
          <w:p w:rsidR="008366F7" w:rsidRPr="00F7163D" w:rsidRDefault="008366F7" w:rsidP="00363261">
            <w:pPr>
              <w:rPr>
                <w:rFonts w:ascii="Times New Roman" w:hAnsi="Times New Roman" w:cs="Times New Roman"/>
              </w:rPr>
            </w:pPr>
            <w:r w:rsidRPr="00F7163D">
              <w:rPr>
                <w:rFonts w:ascii="Times New Roman" w:hAnsi="Times New Roman" w:cs="Times New Roman"/>
              </w:rPr>
              <w:t xml:space="preserve">2. </w:t>
            </w:r>
            <w:r>
              <w:rPr>
                <w:rFonts w:ascii="Times New Roman" w:hAnsi="Times New Roman" w:cs="Times New Roman"/>
              </w:rPr>
              <w:t>one</w:t>
            </w:r>
            <w:r w:rsidRPr="00F7163D">
              <w:rPr>
                <w:rFonts w:ascii="Times New Roman" w:hAnsi="Times New Roman" w:cs="Times New Roman"/>
              </w:rPr>
              <w:t xml:space="preserve"> third </w:t>
            </w:r>
            <w:r>
              <w:rPr>
                <w:rFonts w:ascii="Times New Roman" w:hAnsi="Times New Roman" w:cs="Times New Roman"/>
              </w:rPr>
              <w:t xml:space="preserve">(33.3%) </w:t>
            </w:r>
            <w:r w:rsidRPr="00F7163D">
              <w:rPr>
                <w:rFonts w:ascii="Times New Roman" w:hAnsi="Times New Roman" w:cs="Times New Roman"/>
              </w:rPr>
              <w:t xml:space="preserve">of any </w:t>
            </w:r>
            <w:r>
              <w:rPr>
                <w:rFonts w:ascii="Times New Roman" w:hAnsi="Times New Roman" w:cs="Times New Roman"/>
              </w:rPr>
              <w:t>and all revenue</w:t>
            </w:r>
            <w:r w:rsidRPr="00F7163D">
              <w:rPr>
                <w:rFonts w:ascii="Times New Roman" w:hAnsi="Times New Roman" w:cs="Times New Roman"/>
              </w:rPr>
              <w:t xml:space="preserve"> generate</w:t>
            </w:r>
            <w:r>
              <w:rPr>
                <w:rFonts w:ascii="Times New Roman" w:hAnsi="Times New Roman" w:cs="Times New Roman"/>
              </w:rPr>
              <w:t>d by SynPat</w:t>
            </w:r>
            <w:r w:rsidRPr="00F7163D">
              <w:rPr>
                <w:rFonts w:ascii="Times New Roman" w:hAnsi="Times New Roman" w:cs="Times New Roman"/>
              </w:rPr>
              <w:t xml:space="preserve"> under the Monetization Plan.</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Pr>
                <w:rFonts w:ascii="Times New Roman" w:hAnsi="Times New Roman" w:cs="Times New Roman"/>
                <w:b/>
                <w:bCs/>
              </w:rPr>
              <w:t>Purchase Option</w:t>
            </w:r>
          </w:p>
        </w:tc>
        <w:tc>
          <w:tcPr>
            <w:tcW w:w="785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SynPat</w:t>
            </w:r>
            <w:r>
              <w:rPr>
                <w:rFonts w:ascii="Times New Roman" w:hAnsi="Times New Roman" w:cs="Times New Roman"/>
              </w:rPr>
              <w:t xml:space="preserve"> shall have the exclusive right, but not the obligation, </w:t>
            </w:r>
            <w:r w:rsidRPr="00F7163D">
              <w:rPr>
                <w:rFonts w:ascii="Times New Roman" w:hAnsi="Times New Roman" w:cs="Times New Roman"/>
              </w:rPr>
              <w:t>to purchase the Patents for the Cons</w:t>
            </w:r>
            <w:r>
              <w:rPr>
                <w:rFonts w:ascii="Times New Roman" w:hAnsi="Times New Roman" w:cs="Times New Roman"/>
              </w:rPr>
              <w:t>ideration at any time during a</w:t>
            </w:r>
            <w:r w:rsidRPr="00F7163D">
              <w:rPr>
                <w:rFonts w:ascii="Times New Roman" w:hAnsi="Times New Roman" w:cs="Times New Roman"/>
              </w:rPr>
              <w:t xml:space="preserve"> Diligence Period</w:t>
            </w:r>
            <w:r>
              <w:rPr>
                <w:rFonts w:ascii="Times New Roman" w:hAnsi="Times New Roman" w:cs="Times New Roman"/>
              </w:rPr>
              <w:t xml:space="preserve"> of one hundred (100) days from signing the PPA.</w:t>
            </w:r>
          </w:p>
        </w:tc>
      </w:tr>
      <w:tr w:rsidR="008366F7" w:rsidRPr="00F7163D" w:rsidTr="00363261">
        <w:tc>
          <w:tcPr>
            <w:tcW w:w="1735" w:type="dxa"/>
          </w:tcPr>
          <w:p w:rsidR="008366F7" w:rsidRPr="00B90708" w:rsidRDefault="008366F7" w:rsidP="004A500E">
            <w:pPr>
              <w:rPr>
                <w:rFonts w:ascii="Times New Roman" w:hAnsi="Times New Roman" w:cs="Times New Roman"/>
                <w:b/>
                <w:bCs/>
              </w:rPr>
            </w:pPr>
            <w:r w:rsidRPr="00B90708">
              <w:rPr>
                <w:rFonts w:ascii="Times New Roman" w:hAnsi="Times New Roman" w:cs="Times New Roman"/>
                <w:b/>
                <w:bCs/>
              </w:rPr>
              <w:t>Good Faith Negotiation:</w:t>
            </w:r>
          </w:p>
        </w:tc>
        <w:tc>
          <w:tcPr>
            <w:tcW w:w="7855" w:type="dxa"/>
          </w:tcPr>
          <w:p w:rsidR="008366F7" w:rsidRPr="00F7163D" w:rsidRDefault="008366F7" w:rsidP="004A500E">
            <w:pPr>
              <w:rPr>
                <w:rFonts w:ascii="Times New Roman" w:hAnsi="Times New Roman" w:cs="Times New Roman"/>
              </w:rPr>
            </w:pPr>
            <w:r w:rsidRPr="00F7163D">
              <w:rPr>
                <w:rFonts w:ascii="Times New Roman" w:hAnsi="Times New Roman" w:cs="Times New Roman"/>
              </w:rPr>
              <w:t xml:space="preserve">Upon </w:t>
            </w:r>
            <w:r>
              <w:rPr>
                <w:rFonts w:ascii="Times New Roman" w:hAnsi="Times New Roman" w:cs="Times New Roman"/>
              </w:rPr>
              <w:t>execution</w:t>
            </w:r>
            <w:r w:rsidRPr="00F7163D">
              <w:rPr>
                <w:rFonts w:ascii="Times New Roman" w:hAnsi="Times New Roman" w:cs="Times New Roman"/>
              </w:rPr>
              <w:t xml:space="preserve"> of this Term Sheet, the parties will enter into good faith negotiations t</w:t>
            </w:r>
            <w:r>
              <w:rPr>
                <w:rFonts w:ascii="Times New Roman" w:hAnsi="Times New Roman" w:cs="Times New Roman"/>
              </w:rPr>
              <w:t>o execute a PPA</w:t>
            </w:r>
            <w:r w:rsidRPr="00F7163D">
              <w:rPr>
                <w:rFonts w:ascii="Times New Roman" w:hAnsi="Times New Roman" w:cs="Times New Roman"/>
              </w:rPr>
              <w:t xml:space="preserve"> consistent with the terms and conditions herein</w:t>
            </w:r>
            <w:r w:rsidR="004A500E">
              <w:rPr>
                <w:rFonts w:ascii="Times New Roman" w:hAnsi="Times New Roman" w:cs="Times New Roman"/>
              </w:rPr>
              <w:t>, during which, Seller</w:t>
            </w:r>
            <w:r w:rsidR="004A500E" w:rsidRPr="00F7163D">
              <w:rPr>
                <w:rFonts w:ascii="Times New Roman" w:hAnsi="Times New Roman" w:cs="Times New Roman"/>
              </w:rPr>
              <w:t xml:space="preserve"> will not solicit or participate in any discussions with or provide any information to any third party concerning the possible sale of the Patents or any other transaction that would be inconsistent with the sale contemplated by this Term Sheet.</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t>Conditions to Closing:</w:t>
            </w:r>
          </w:p>
        </w:tc>
        <w:tc>
          <w:tcPr>
            <w:tcW w:w="7855" w:type="dxa"/>
          </w:tcPr>
          <w:p w:rsidR="008366F7" w:rsidRPr="00F7163D" w:rsidRDefault="008366F7" w:rsidP="00363261">
            <w:pPr>
              <w:rPr>
                <w:rFonts w:ascii="Times New Roman" w:hAnsi="Times New Roman" w:cs="Times New Roman"/>
              </w:rPr>
            </w:pPr>
            <w:r>
              <w:rPr>
                <w:rFonts w:ascii="Times New Roman" w:hAnsi="Times New Roman" w:cs="Times New Roman"/>
              </w:rPr>
              <w:t>C</w:t>
            </w:r>
            <w:r w:rsidRPr="00F7163D">
              <w:rPr>
                <w:rFonts w:ascii="Times New Roman" w:hAnsi="Times New Roman" w:cs="Times New Roman"/>
              </w:rPr>
              <w:t>losing of the acquisition will be subject to the formation, by SynPat a</w:t>
            </w:r>
            <w:r>
              <w:rPr>
                <w:rFonts w:ascii="Times New Roman" w:hAnsi="Times New Roman" w:cs="Times New Roman"/>
              </w:rPr>
              <w:t>t its</w:t>
            </w:r>
            <w:r w:rsidRPr="00F7163D">
              <w:rPr>
                <w:rFonts w:ascii="Times New Roman" w:hAnsi="Times New Roman" w:cs="Times New Roman"/>
              </w:rPr>
              <w:t xml:space="preserve"> sole expense, of </w:t>
            </w:r>
            <w:proofErr w:type="gramStart"/>
            <w:r w:rsidRPr="00F7163D">
              <w:rPr>
                <w:rFonts w:ascii="Times New Roman" w:hAnsi="Times New Roman" w:cs="Times New Roman"/>
              </w:rPr>
              <w:t>an acquisition</w:t>
            </w:r>
            <w:proofErr w:type="gramEnd"/>
            <w:r w:rsidRPr="00F7163D">
              <w:rPr>
                <w:rFonts w:ascii="Times New Roman" w:hAnsi="Times New Roman" w:cs="Times New Roman"/>
              </w:rPr>
              <w:t xml:space="preserve"> syndication </w:t>
            </w:r>
            <w:r>
              <w:rPr>
                <w:rFonts w:ascii="Times New Roman" w:hAnsi="Times New Roman" w:cs="Times New Roman"/>
              </w:rPr>
              <w:t xml:space="preserve">in an amount </w:t>
            </w:r>
            <w:r w:rsidRPr="00F7163D">
              <w:rPr>
                <w:rFonts w:ascii="Times New Roman" w:hAnsi="Times New Roman" w:cs="Times New Roman"/>
              </w:rPr>
              <w:t>equal to the Purchase Price, as well as to customary closing conditions, including the absence of any breach of any representations and warranties, and the absence of material adverse changes in the legal status of the Patents.</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t>Closing:</w:t>
            </w:r>
          </w:p>
        </w:tc>
        <w:tc>
          <w:tcPr>
            <w:tcW w:w="7855" w:type="dxa"/>
          </w:tcPr>
          <w:p w:rsidR="008366F7" w:rsidRDefault="008366F7" w:rsidP="00363261">
            <w:pPr>
              <w:rPr>
                <w:rFonts w:ascii="Times New Roman" w:hAnsi="Times New Roman" w:cs="Times New Roman"/>
              </w:rPr>
            </w:pPr>
            <w:r w:rsidRPr="00F7163D">
              <w:rPr>
                <w:rFonts w:ascii="Times New Roman" w:hAnsi="Times New Roman" w:cs="Times New Roman"/>
              </w:rPr>
              <w:t xml:space="preserve">At the </w:t>
            </w:r>
            <w:r>
              <w:rPr>
                <w:rFonts w:ascii="Times New Roman" w:hAnsi="Times New Roman" w:cs="Times New Roman"/>
              </w:rPr>
              <w:t>C</w:t>
            </w:r>
            <w:r w:rsidRPr="00F7163D">
              <w:rPr>
                <w:rFonts w:ascii="Times New Roman" w:hAnsi="Times New Roman" w:cs="Times New Roman"/>
              </w:rPr>
              <w:t>losing</w:t>
            </w:r>
            <w:r>
              <w:rPr>
                <w:rFonts w:ascii="Times New Roman" w:hAnsi="Times New Roman" w:cs="Times New Roman"/>
              </w:rPr>
              <w:t>,</w:t>
            </w:r>
            <w:r w:rsidRPr="00F7163D">
              <w:rPr>
                <w:rFonts w:ascii="Times New Roman" w:hAnsi="Times New Roman" w:cs="Times New Roman"/>
              </w:rPr>
              <w:t xml:space="preserve"> SynPat will:</w:t>
            </w:r>
          </w:p>
          <w:p w:rsidR="008366F7" w:rsidRDefault="008366F7" w:rsidP="00363261">
            <w:pPr>
              <w:rPr>
                <w:rFonts w:ascii="Times New Roman" w:hAnsi="Times New Roman" w:cs="Times New Roman"/>
              </w:rPr>
            </w:pPr>
            <w:r w:rsidRPr="00F7163D">
              <w:rPr>
                <w:rFonts w:ascii="Times New Roman" w:hAnsi="Times New Roman" w:cs="Times New Roman"/>
              </w:rPr>
              <w:t>1. Pay the Purchase Price to Seller, obtain ownership o</w:t>
            </w:r>
            <w:r>
              <w:rPr>
                <w:rFonts w:ascii="Times New Roman" w:hAnsi="Times New Roman" w:cs="Times New Roman"/>
              </w:rPr>
              <w:t>f</w:t>
            </w:r>
            <w:r w:rsidRPr="00F7163D">
              <w:rPr>
                <w:rFonts w:ascii="Times New Roman" w:hAnsi="Times New Roman" w:cs="Times New Roman"/>
              </w:rPr>
              <w:t xml:space="preserve"> the Patents, and grant Seller a </w:t>
            </w:r>
            <w:r>
              <w:rPr>
                <w:rFonts w:ascii="Times New Roman" w:hAnsi="Times New Roman" w:cs="Times New Roman"/>
              </w:rPr>
              <w:t xml:space="preserve">limited </w:t>
            </w:r>
            <w:r w:rsidRPr="00F7163D">
              <w:rPr>
                <w:rFonts w:ascii="Times New Roman" w:hAnsi="Times New Roman" w:cs="Times New Roman"/>
              </w:rPr>
              <w:t>license</w:t>
            </w:r>
            <w:r>
              <w:rPr>
                <w:rFonts w:ascii="Times New Roman" w:hAnsi="Times New Roman" w:cs="Times New Roman"/>
              </w:rPr>
              <w:t>-</w:t>
            </w:r>
            <w:r w:rsidRPr="00F7163D">
              <w:rPr>
                <w:rFonts w:ascii="Times New Roman" w:hAnsi="Times New Roman" w:cs="Times New Roman"/>
              </w:rPr>
              <w:t xml:space="preserve">back under the Patents. </w:t>
            </w:r>
          </w:p>
          <w:p w:rsidR="008366F7" w:rsidRDefault="008366F7" w:rsidP="00363261">
            <w:pPr>
              <w:rPr>
                <w:rFonts w:ascii="Times New Roman" w:hAnsi="Times New Roman" w:cs="Times New Roman"/>
              </w:rPr>
            </w:pPr>
            <w:r w:rsidRPr="00F7163D">
              <w:rPr>
                <w:rFonts w:ascii="Times New Roman" w:hAnsi="Times New Roman" w:cs="Times New Roman"/>
              </w:rPr>
              <w:t xml:space="preserve">2. License the companies that participated in the acquisition syndication </w:t>
            </w:r>
            <w:r w:rsidRPr="00E25768">
              <w:rPr>
                <w:rFonts w:ascii="Times New Roman" w:hAnsi="Times New Roman" w:cs="Times New Roman"/>
              </w:rPr>
              <w:t>(</w:t>
            </w:r>
            <w:r>
              <w:rPr>
                <w:rFonts w:ascii="Times New Roman" w:hAnsi="Times New Roman" w:cs="Times New Roman"/>
              </w:rPr>
              <w:t xml:space="preserve">the </w:t>
            </w:r>
            <w:r w:rsidRPr="00E25768">
              <w:rPr>
                <w:rFonts w:ascii="Times New Roman" w:hAnsi="Times New Roman" w:cs="Times New Roman"/>
                <w:b/>
                <w:bCs/>
              </w:rPr>
              <w:t>“Participants”</w:t>
            </w:r>
            <w:r w:rsidRPr="00F7163D">
              <w:rPr>
                <w:rFonts w:ascii="Times New Roman" w:hAnsi="Times New Roman" w:cs="Times New Roman"/>
              </w:rPr>
              <w:t xml:space="preserve">). </w:t>
            </w:r>
          </w:p>
          <w:p w:rsidR="008366F7" w:rsidRPr="00F7163D" w:rsidRDefault="008366F7" w:rsidP="00363261">
            <w:pPr>
              <w:rPr>
                <w:rFonts w:ascii="Times New Roman" w:hAnsi="Times New Roman" w:cs="Times New Roman"/>
              </w:rPr>
            </w:pPr>
            <w:r w:rsidRPr="00F7163D">
              <w:rPr>
                <w:rFonts w:ascii="Times New Roman" w:hAnsi="Times New Roman" w:cs="Times New Roman"/>
              </w:rPr>
              <w:t>3.</w:t>
            </w:r>
            <w:r w:rsidR="004A500E">
              <w:rPr>
                <w:rFonts w:ascii="Times New Roman" w:hAnsi="Times New Roman" w:cs="Times New Roman"/>
              </w:rPr>
              <w:t xml:space="preserve"> </w:t>
            </w:r>
            <w:r>
              <w:rPr>
                <w:rFonts w:ascii="Times New Roman" w:hAnsi="Times New Roman" w:cs="Times New Roman"/>
              </w:rPr>
              <w:t>Begin implementation of the</w:t>
            </w:r>
            <w:r w:rsidRPr="00F7163D">
              <w:rPr>
                <w:rFonts w:ascii="Times New Roman" w:hAnsi="Times New Roman" w:cs="Times New Roman"/>
              </w:rPr>
              <w:t xml:space="preserve"> Monetization Plan.</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t>Monetization Plan:</w:t>
            </w:r>
          </w:p>
        </w:tc>
        <w:tc>
          <w:tcPr>
            <w:tcW w:w="7855" w:type="dxa"/>
          </w:tcPr>
          <w:p w:rsidR="008366F7" w:rsidRDefault="008366F7" w:rsidP="00363261">
            <w:pPr>
              <w:rPr>
                <w:rFonts w:ascii="Times New Roman" w:hAnsi="Times New Roman" w:cs="Times New Roman"/>
              </w:rPr>
            </w:pPr>
            <w:r w:rsidRPr="00F7163D">
              <w:rPr>
                <w:rFonts w:ascii="Times New Roman" w:hAnsi="Times New Roman" w:cs="Times New Roman"/>
              </w:rPr>
              <w:t>Licensing</w:t>
            </w:r>
            <w:r>
              <w:rPr>
                <w:rFonts w:ascii="Times New Roman" w:hAnsi="Times New Roman" w:cs="Times New Roman"/>
              </w:rPr>
              <w:t xml:space="preserve"> Phase</w:t>
            </w:r>
            <w:r w:rsidRPr="00F7163D">
              <w:rPr>
                <w:rFonts w:ascii="Times New Roman" w:hAnsi="Times New Roman" w:cs="Times New Roman"/>
              </w:rPr>
              <w:t xml:space="preserve">: </w:t>
            </w:r>
          </w:p>
          <w:p w:rsidR="008366F7" w:rsidRDefault="008366F7" w:rsidP="00363261">
            <w:pPr>
              <w:rPr>
                <w:rFonts w:ascii="Times New Roman" w:hAnsi="Times New Roman" w:cs="Times New Roman"/>
              </w:rPr>
            </w:pPr>
            <w:r w:rsidRPr="00F7163D">
              <w:rPr>
                <w:rFonts w:ascii="Times New Roman" w:hAnsi="Times New Roman" w:cs="Times New Roman"/>
              </w:rPr>
              <w:t xml:space="preserve">Immediately after the Closing, and for a period </w:t>
            </w:r>
            <w:r>
              <w:rPr>
                <w:rFonts w:ascii="Times New Roman" w:hAnsi="Times New Roman" w:cs="Times New Roman"/>
              </w:rPr>
              <w:t xml:space="preserve">of </w:t>
            </w:r>
            <w:r w:rsidRPr="00F7163D">
              <w:rPr>
                <w:rFonts w:ascii="Times New Roman" w:hAnsi="Times New Roman" w:cs="Times New Roman"/>
              </w:rPr>
              <w:t xml:space="preserve">no longer than </w:t>
            </w:r>
            <w:r>
              <w:rPr>
                <w:rFonts w:ascii="Times New Roman" w:hAnsi="Times New Roman" w:cs="Times New Roman"/>
              </w:rPr>
              <w:t>six (</w:t>
            </w:r>
            <w:r w:rsidRPr="00F7163D">
              <w:rPr>
                <w:rFonts w:ascii="Times New Roman" w:hAnsi="Times New Roman" w:cs="Times New Roman"/>
              </w:rPr>
              <w:t>6</w:t>
            </w:r>
            <w:r>
              <w:rPr>
                <w:rFonts w:ascii="Times New Roman" w:hAnsi="Times New Roman" w:cs="Times New Roman"/>
              </w:rPr>
              <w:t>)</w:t>
            </w:r>
            <w:r w:rsidRPr="00F7163D">
              <w:rPr>
                <w:rFonts w:ascii="Times New Roman" w:hAnsi="Times New Roman" w:cs="Times New Roman"/>
              </w:rPr>
              <w:t xml:space="preserve"> months</w:t>
            </w:r>
            <w:r>
              <w:rPr>
                <w:rFonts w:ascii="Times New Roman" w:hAnsi="Times New Roman" w:cs="Times New Roman"/>
              </w:rPr>
              <w:t xml:space="preserve"> thereafter</w:t>
            </w:r>
            <w:r w:rsidRPr="00F7163D">
              <w:rPr>
                <w:rFonts w:ascii="Times New Roman" w:hAnsi="Times New Roman" w:cs="Times New Roman"/>
              </w:rPr>
              <w:t xml:space="preserve">, SynPat will offer operating companies that chose not to participate initially in the acquisition syndication an opportunity to acquire licenses under the Patents at a price </w:t>
            </w:r>
            <w:r>
              <w:rPr>
                <w:rFonts w:ascii="Times New Roman" w:hAnsi="Times New Roman" w:cs="Times New Roman"/>
              </w:rPr>
              <w:t xml:space="preserve">that is </w:t>
            </w:r>
            <w:r w:rsidRPr="00F7163D">
              <w:rPr>
                <w:rFonts w:ascii="Times New Roman" w:hAnsi="Times New Roman" w:cs="Times New Roman"/>
              </w:rPr>
              <w:t xml:space="preserve">1.5 </w:t>
            </w:r>
            <w:r>
              <w:rPr>
                <w:rFonts w:ascii="Times New Roman" w:hAnsi="Times New Roman" w:cs="Times New Roman"/>
              </w:rPr>
              <w:t xml:space="preserve">times </w:t>
            </w:r>
            <w:r w:rsidRPr="00F7163D">
              <w:rPr>
                <w:rFonts w:ascii="Times New Roman" w:hAnsi="Times New Roman" w:cs="Times New Roman"/>
              </w:rPr>
              <w:t>the price paid by a Participant of a similar size</w:t>
            </w:r>
            <w:r>
              <w:rPr>
                <w:rFonts w:ascii="Times New Roman" w:hAnsi="Times New Roman" w:cs="Times New Roman"/>
              </w:rPr>
              <w:t xml:space="preserve">, i.e., a premium </w:t>
            </w:r>
            <w:r>
              <w:rPr>
                <w:rFonts w:ascii="Times New Roman" w:hAnsi="Times New Roman" w:cs="Times New Roman"/>
              </w:rPr>
              <w:lastRenderedPageBreak/>
              <w:t>of 50%.</w:t>
            </w:r>
          </w:p>
          <w:p w:rsidR="008366F7" w:rsidRDefault="008366F7" w:rsidP="00363261">
            <w:pPr>
              <w:rPr>
                <w:rFonts w:ascii="Times New Roman" w:hAnsi="Times New Roman" w:cs="Times New Roman"/>
              </w:rPr>
            </w:pPr>
          </w:p>
          <w:p w:rsidR="008366F7" w:rsidRDefault="008366F7" w:rsidP="00363261">
            <w:pPr>
              <w:rPr>
                <w:rFonts w:ascii="Times New Roman" w:hAnsi="Times New Roman" w:cs="Times New Roman"/>
              </w:rPr>
            </w:pPr>
            <w:r w:rsidRPr="00F7163D">
              <w:rPr>
                <w:rFonts w:ascii="Times New Roman" w:hAnsi="Times New Roman" w:cs="Times New Roman"/>
              </w:rPr>
              <w:t>Sale:</w:t>
            </w:r>
          </w:p>
          <w:p w:rsidR="008366F7" w:rsidRDefault="008366F7" w:rsidP="00363261">
            <w:pPr>
              <w:rPr>
                <w:rFonts w:ascii="Times New Roman" w:hAnsi="Times New Roman" w:cs="Times New Roman"/>
              </w:rPr>
            </w:pPr>
            <w:r w:rsidRPr="00F7163D">
              <w:rPr>
                <w:rFonts w:ascii="Times New Roman" w:hAnsi="Times New Roman" w:cs="Times New Roman"/>
              </w:rPr>
              <w:t xml:space="preserve">Upon completion of the Licensing </w:t>
            </w:r>
            <w:r>
              <w:rPr>
                <w:rFonts w:ascii="Times New Roman" w:hAnsi="Times New Roman" w:cs="Times New Roman"/>
              </w:rPr>
              <w:t>P</w:t>
            </w:r>
            <w:r w:rsidRPr="00F7163D">
              <w:rPr>
                <w:rFonts w:ascii="Times New Roman" w:hAnsi="Times New Roman" w:cs="Times New Roman"/>
              </w:rPr>
              <w:t xml:space="preserve">hase, SynPat will sell the Patents to (at Seller’s option): </w:t>
            </w:r>
          </w:p>
          <w:p w:rsidR="008366F7" w:rsidRDefault="008366F7" w:rsidP="00363261">
            <w:pPr>
              <w:rPr>
                <w:rFonts w:ascii="Times New Roman" w:hAnsi="Times New Roman" w:cs="Times New Roman"/>
              </w:rPr>
            </w:pPr>
            <w:r w:rsidRPr="00F7163D">
              <w:rPr>
                <w:rFonts w:ascii="Times New Roman" w:hAnsi="Times New Roman" w:cs="Times New Roman"/>
              </w:rPr>
              <w:t>1. an operating company, subject to Seller’s right of first refusal, or</w:t>
            </w:r>
          </w:p>
          <w:p w:rsidR="008366F7" w:rsidRPr="00F7163D" w:rsidRDefault="008366F7" w:rsidP="00363261">
            <w:pPr>
              <w:rPr>
                <w:rFonts w:ascii="Times New Roman" w:hAnsi="Times New Roman" w:cs="Times New Roman"/>
              </w:rPr>
            </w:pPr>
            <w:r w:rsidRPr="00F7163D">
              <w:rPr>
                <w:rFonts w:ascii="Times New Roman" w:hAnsi="Times New Roman" w:cs="Times New Roman"/>
              </w:rPr>
              <w:t xml:space="preserve">2. </w:t>
            </w:r>
            <w:proofErr w:type="gramStart"/>
            <w:r w:rsidRPr="00F7163D">
              <w:rPr>
                <w:rFonts w:ascii="Times New Roman" w:hAnsi="Times New Roman" w:cs="Times New Roman"/>
              </w:rPr>
              <w:t>a</w:t>
            </w:r>
            <w:proofErr w:type="gramEnd"/>
            <w:r>
              <w:rPr>
                <w:rFonts w:ascii="Times New Roman" w:hAnsi="Times New Roman" w:cs="Times New Roman"/>
              </w:rPr>
              <w:t xml:space="preserve"> patent enforcement entity that </w:t>
            </w:r>
            <w:r w:rsidRPr="00F7163D">
              <w:rPr>
                <w:rFonts w:ascii="Times New Roman" w:hAnsi="Times New Roman" w:cs="Times New Roman"/>
              </w:rPr>
              <w:t>speciali</w:t>
            </w:r>
            <w:r>
              <w:rPr>
                <w:rFonts w:ascii="Times New Roman" w:hAnsi="Times New Roman" w:cs="Times New Roman"/>
              </w:rPr>
              <w:t>zes</w:t>
            </w:r>
            <w:r w:rsidRPr="00F7163D">
              <w:rPr>
                <w:rFonts w:ascii="Times New Roman" w:hAnsi="Times New Roman" w:cs="Times New Roman"/>
              </w:rPr>
              <w:t xml:space="preserve"> in </w:t>
            </w:r>
            <w:r>
              <w:rPr>
                <w:rFonts w:ascii="Times New Roman" w:hAnsi="Times New Roman" w:cs="Times New Roman"/>
              </w:rPr>
              <w:t>the assertion</w:t>
            </w:r>
            <w:r w:rsidRPr="00F7163D">
              <w:rPr>
                <w:rFonts w:ascii="Times New Roman" w:hAnsi="Times New Roman" w:cs="Times New Roman"/>
              </w:rPr>
              <w:t xml:space="preserve"> of patent</w:t>
            </w:r>
            <w:r>
              <w:rPr>
                <w:rFonts w:ascii="Times New Roman" w:hAnsi="Times New Roman" w:cs="Times New Roman"/>
              </w:rPr>
              <w:t xml:space="preserve"> infringement claims </w:t>
            </w:r>
            <w:r w:rsidRPr="00F7163D">
              <w:rPr>
                <w:rFonts w:ascii="Times New Roman" w:hAnsi="Times New Roman" w:cs="Times New Roman"/>
              </w:rPr>
              <w:t>in court</w:t>
            </w:r>
            <w:r>
              <w:rPr>
                <w:rFonts w:ascii="Times New Roman" w:hAnsi="Times New Roman" w:cs="Times New Roman"/>
              </w:rPr>
              <w:t>.</w:t>
            </w:r>
          </w:p>
          <w:p w:rsidR="008366F7" w:rsidRPr="00F7163D" w:rsidRDefault="008366F7" w:rsidP="00363261">
            <w:pPr>
              <w:rPr>
                <w:rFonts w:ascii="Times New Roman" w:hAnsi="Times New Roman" w:cs="Times New Roman"/>
              </w:rPr>
            </w:pPr>
          </w:p>
          <w:p w:rsidR="008366F7" w:rsidRDefault="008366F7" w:rsidP="00363261">
            <w:pPr>
              <w:rPr>
                <w:rFonts w:ascii="Times New Roman" w:hAnsi="Times New Roman" w:cs="Times New Roman"/>
              </w:rPr>
            </w:pPr>
            <w:r w:rsidRPr="00F7163D">
              <w:rPr>
                <w:rFonts w:ascii="Times New Roman" w:hAnsi="Times New Roman" w:cs="Times New Roman"/>
              </w:rPr>
              <w:t xml:space="preserve">All revenues generated by SynPat from the Licensing </w:t>
            </w:r>
            <w:r>
              <w:rPr>
                <w:rFonts w:ascii="Times New Roman" w:hAnsi="Times New Roman" w:cs="Times New Roman"/>
              </w:rPr>
              <w:t xml:space="preserve">Phase </w:t>
            </w:r>
            <w:r w:rsidRPr="00F7163D">
              <w:rPr>
                <w:rFonts w:ascii="Times New Roman" w:hAnsi="Times New Roman" w:cs="Times New Roman"/>
              </w:rPr>
              <w:t>and the Sale will be split as follows:</w:t>
            </w:r>
          </w:p>
          <w:p w:rsidR="008366F7" w:rsidRDefault="008366F7" w:rsidP="00363261">
            <w:pPr>
              <w:rPr>
                <w:rFonts w:ascii="Times New Roman" w:hAnsi="Times New Roman" w:cs="Times New Roman"/>
              </w:rPr>
            </w:pPr>
            <w:r>
              <w:rPr>
                <w:rFonts w:ascii="Times New Roman" w:hAnsi="Times New Roman" w:cs="Times New Roman"/>
              </w:rPr>
              <w:t>one-third (33.3%)</w:t>
            </w:r>
            <w:r w:rsidRPr="00F7163D">
              <w:rPr>
                <w:rFonts w:ascii="Times New Roman" w:hAnsi="Times New Roman" w:cs="Times New Roman"/>
              </w:rPr>
              <w:t xml:space="preserve"> to Seller</w:t>
            </w:r>
            <w:r>
              <w:rPr>
                <w:rFonts w:ascii="Times New Roman" w:hAnsi="Times New Roman" w:cs="Times New Roman"/>
              </w:rPr>
              <w:t>;</w:t>
            </w:r>
          </w:p>
          <w:p w:rsidR="008366F7" w:rsidRDefault="008366F7" w:rsidP="00363261">
            <w:pPr>
              <w:rPr>
                <w:rFonts w:ascii="Times New Roman" w:hAnsi="Times New Roman" w:cs="Times New Roman"/>
              </w:rPr>
            </w:pPr>
            <w:r>
              <w:rPr>
                <w:rFonts w:ascii="Times New Roman" w:hAnsi="Times New Roman" w:cs="Times New Roman"/>
              </w:rPr>
              <w:t xml:space="preserve">one-third (33.3%) </w:t>
            </w:r>
            <w:r w:rsidRPr="00F7163D">
              <w:rPr>
                <w:rFonts w:ascii="Times New Roman" w:hAnsi="Times New Roman" w:cs="Times New Roman"/>
              </w:rPr>
              <w:t xml:space="preserve">to </w:t>
            </w:r>
            <w:r>
              <w:rPr>
                <w:rFonts w:ascii="Times New Roman" w:hAnsi="Times New Roman" w:cs="Times New Roman"/>
              </w:rPr>
              <w:t xml:space="preserve">the </w:t>
            </w:r>
            <w:r w:rsidRPr="00F7163D">
              <w:rPr>
                <w:rFonts w:ascii="Times New Roman" w:hAnsi="Times New Roman" w:cs="Times New Roman"/>
              </w:rPr>
              <w:t>Participants (up to the Purchase Price)</w:t>
            </w:r>
            <w:r>
              <w:rPr>
                <w:rFonts w:ascii="Times New Roman" w:hAnsi="Times New Roman" w:cs="Times New Roman"/>
              </w:rPr>
              <w:t>;</w:t>
            </w:r>
            <w:r w:rsidRPr="00F7163D">
              <w:rPr>
                <w:rFonts w:ascii="Times New Roman" w:hAnsi="Times New Roman" w:cs="Times New Roman"/>
              </w:rPr>
              <w:t xml:space="preserve"> and</w:t>
            </w:r>
          </w:p>
          <w:p w:rsidR="008366F7" w:rsidRPr="00F7163D" w:rsidRDefault="008366F7" w:rsidP="00363261">
            <w:pPr>
              <w:rPr>
                <w:rFonts w:ascii="Times New Roman" w:hAnsi="Times New Roman" w:cs="Times New Roman"/>
              </w:rPr>
            </w:pPr>
            <w:proofErr w:type="gramStart"/>
            <w:r w:rsidRPr="00F7163D">
              <w:rPr>
                <w:rFonts w:ascii="Times New Roman" w:hAnsi="Times New Roman" w:cs="Times New Roman"/>
              </w:rPr>
              <w:t>the</w:t>
            </w:r>
            <w:proofErr w:type="gramEnd"/>
            <w:r w:rsidRPr="00F7163D">
              <w:rPr>
                <w:rFonts w:ascii="Times New Roman" w:hAnsi="Times New Roman" w:cs="Times New Roman"/>
              </w:rPr>
              <w:t xml:space="preserve"> re</w:t>
            </w:r>
            <w:r>
              <w:rPr>
                <w:rFonts w:ascii="Times New Roman" w:hAnsi="Times New Roman" w:cs="Times New Roman"/>
              </w:rPr>
              <w:t>mainder</w:t>
            </w:r>
            <w:r w:rsidRPr="00F7163D">
              <w:rPr>
                <w:rFonts w:ascii="Times New Roman" w:hAnsi="Times New Roman" w:cs="Times New Roman"/>
              </w:rPr>
              <w:t xml:space="preserve"> to SynPat.</w:t>
            </w:r>
          </w:p>
        </w:tc>
      </w:tr>
      <w:tr w:rsidR="008366F7" w:rsidRPr="00F7163D" w:rsidTr="00363261">
        <w:tc>
          <w:tcPr>
            <w:tcW w:w="1735" w:type="dxa"/>
          </w:tcPr>
          <w:p w:rsidR="008366F7" w:rsidRPr="00B90708" w:rsidRDefault="008366F7" w:rsidP="00363261">
            <w:pPr>
              <w:rPr>
                <w:rFonts w:ascii="Times New Roman" w:hAnsi="Times New Roman" w:cs="Times New Roman"/>
                <w:b/>
                <w:bCs/>
              </w:rPr>
            </w:pPr>
            <w:r w:rsidRPr="00B90708">
              <w:rPr>
                <w:rFonts w:ascii="Times New Roman" w:hAnsi="Times New Roman" w:cs="Times New Roman"/>
                <w:b/>
                <w:bCs/>
              </w:rPr>
              <w:lastRenderedPageBreak/>
              <w:t>Confidentiality:</w:t>
            </w:r>
          </w:p>
        </w:tc>
        <w:tc>
          <w:tcPr>
            <w:tcW w:w="785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The terms included herein are deemed confidential and unless required by law, a party shall not use or disclose any of them other than to further the purpose of this Term Sheet.</w:t>
            </w:r>
          </w:p>
        </w:tc>
      </w:tr>
    </w:tbl>
    <w:p w:rsidR="008366F7" w:rsidRPr="00F7163D" w:rsidRDefault="008366F7" w:rsidP="008366F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72"/>
        <w:gridCol w:w="3114"/>
        <w:gridCol w:w="3190"/>
      </w:tblGrid>
      <w:tr w:rsidR="008366F7" w:rsidTr="00363261">
        <w:tc>
          <w:tcPr>
            <w:tcW w:w="3272" w:type="dxa"/>
            <w:tcBorders>
              <w:bottom w:val="single" w:sz="4" w:space="0" w:color="auto"/>
            </w:tcBorders>
          </w:tcPr>
          <w:p w:rsidR="008366F7" w:rsidRDefault="008366F7" w:rsidP="00363261">
            <w:pPr>
              <w:jc w:val="center"/>
              <w:rPr>
                <w:rFonts w:ascii="Times New Roman" w:hAnsi="Times New Roman" w:cs="Times New Roman"/>
              </w:rPr>
            </w:pPr>
            <w:bookmarkStart w:id="0" w:name="_GoBack"/>
            <w:bookmarkEnd w:id="0"/>
          </w:p>
        </w:tc>
        <w:tc>
          <w:tcPr>
            <w:tcW w:w="3114" w:type="dxa"/>
          </w:tcPr>
          <w:p w:rsidR="008366F7" w:rsidRDefault="008366F7" w:rsidP="00363261">
            <w:pPr>
              <w:jc w:val="center"/>
              <w:rPr>
                <w:rFonts w:ascii="Times New Roman" w:hAnsi="Times New Roman" w:cs="Times New Roman"/>
              </w:rPr>
            </w:pPr>
          </w:p>
        </w:tc>
        <w:tc>
          <w:tcPr>
            <w:tcW w:w="3190" w:type="dxa"/>
            <w:tcBorders>
              <w:bottom w:val="single" w:sz="4" w:space="0" w:color="auto"/>
            </w:tcBorders>
          </w:tcPr>
          <w:p w:rsidR="008366F7" w:rsidRDefault="008366F7" w:rsidP="00363261">
            <w:pPr>
              <w:jc w:val="center"/>
              <w:rPr>
                <w:rFonts w:ascii="Times New Roman" w:hAnsi="Times New Roman" w:cs="Times New Roman"/>
              </w:rPr>
            </w:pPr>
          </w:p>
        </w:tc>
      </w:tr>
      <w:tr w:rsidR="008366F7" w:rsidTr="00363261">
        <w:tc>
          <w:tcPr>
            <w:tcW w:w="3272" w:type="dxa"/>
            <w:tcBorders>
              <w:top w:val="single" w:sz="4" w:space="0" w:color="auto"/>
            </w:tcBorders>
          </w:tcPr>
          <w:p w:rsidR="008366F7" w:rsidRDefault="008366F7" w:rsidP="00363261">
            <w:pPr>
              <w:jc w:val="center"/>
              <w:rPr>
                <w:rFonts w:ascii="Times New Roman" w:hAnsi="Times New Roman" w:cs="Times New Roman"/>
              </w:rPr>
            </w:pPr>
            <w:r>
              <w:rPr>
                <w:rFonts w:ascii="Times New Roman" w:hAnsi="Times New Roman" w:cs="Times New Roman"/>
              </w:rPr>
              <w:t>SynPat</w:t>
            </w:r>
          </w:p>
        </w:tc>
        <w:tc>
          <w:tcPr>
            <w:tcW w:w="3114" w:type="dxa"/>
          </w:tcPr>
          <w:p w:rsidR="008366F7" w:rsidRDefault="008366F7" w:rsidP="00363261">
            <w:pPr>
              <w:jc w:val="center"/>
              <w:rPr>
                <w:rFonts w:ascii="Times New Roman" w:hAnsi="Times New Roman" w:cs="Times New Roman"/>
              </w:rPr>
            </w:pPr>
          </w:p>
        </w:tc>
        <w:tc>
          <w:tcPr>
            <w:tcW w:w="3190" w:type="dxa"/>
            <w:tcBorders>
              <w:top w:val="single" w:sz="4" w:space="0" w:color="auto"/>
            </w:tcBorders>
          </w:tcPr>
          <w:p w:rsidR="008366F7" w:rsidRDefault="008366F7" w:rsidP="00363261">
            <w:pPr>
              <w:jc w:val="center"/>
              <w:rPr>
                <w:rFonts w:ascii="Times New Roman" w:hAnsi="Times New Roman" w:cs="Times New Roman"/>
              </w:rPr>
            </w:pPr>
            <w:r>
              <w:rPr>
                <w:rFonts w:ascii="Times New Roman" w:hAnsi="Times New Roman" w:cs="Times New Roman"/>
              </w:rPr>
              <w:t>Seller</w:t>
            </w:r>
          </w:p>
        </w:tc>
      </w:tr>
      <w:tr w:rsidR="008366F7" w:rsidTr="00363261">
        <w:tc>
          <w:tcPr>
            <w:tcW w:w="3272" w:type="dxa"/>
            <w:tcBorders>
              <w:bottom w:val="single" w:sz="4" w:space="0" w:color="auto"/>
            </w:tcBorders>
          </w:tcPr>
          <w:p w:rsidR="008366F7" w:rsidRDefault="008366F7" w:rsidP="00363261">
            <w:pPr>
              <w:jc w:val="center"/>
              <w:rPr>
                <w:rFonts w:ascii="Times New Roman" w:hAnsi="Times New Roman" w:cs="Times New Roman"/>
              </w:rPr>
            </w:pPr>
          </w:p>
        </w:tc>
        <w:tc>
          <w:tcPr>
            <w:tcW w:w="3114" w:type="dxa"/>
          </w:tcPr>
          <w:p w:rsidR="008366F7" w:rsidRDefault="008366F7" w:rsidP="00363261">
            <w:pPr>
              <w:jc w:val="center"/>
              <w:rPr>
                <w:rFonts w:ascii="Times New Roman" w:hAnsi="Times New Roman" w:cs="Times New Roman"/>
              </w:rPr>
            </w:pPr>
          </w:p>
        </w:tc>
        <w:tc>
          <w:tcPr>
            <w:tcW w:w="3190" w:type="dxa"/>
            <w:tcBorders>
              <w:bottom w:val="single" w:sz="4" w:space="0" w:color="auto"/>
            </w:tcBorders>
          </w:tcPr>
          <w:p w:rsidR="008366F7" w:rsidRDefault="008366F7" w:rsidP="00363261">
            <w:pPr>
              <w:jc w:val="center"/>
              <w:rPr>
                <w:rFonts w:ascii="Times New Roman" w:hAnsi="Times New Roman" w:cs="Times New Roman"/>
              </w:rPr>
            </w:pPr>
          </w:p>
        </w:tc>
      </w:tr>
      <w:tr w:rsidR="008366F7" w:rsidTr="00363261">
        <w:tc>
          <w:tcPr>
            <w:tcW w:w="3272" w:type="dxa"/>
            <w:tcBorders>
              <w:top w:val="single" w:sz="4" w:space="0" w:color="auto"/>
            </w:tcBorders>
          </w:tcPr>
          <w:p w:rsidR="008366F7" w:rsidRDefault="008366F7" w:rsidP="00363261">
            <w:pPr>
              <w:jc w:val="center"/>
              <w:rPr>
                <w:rFonts w:ascii="Times New Roman" w:hAnsi="Times New Roman" w:cs="Times New Roman"/>
              </w:rPr>
            </w:pPr>
            <w:r>
              <w:rPr>
                <w:rFonts w:ascii="Times New Roman" w:hAnsi="Times New Roman" w:cs="Times New Roman"/>
              </w:rPr>
              <w:t>By                   Title</w:t>
            </w:r>
          </w:p>
        </w:tc>
        <w:tc>
          <w:tcPr>
            <w:tcW w:w="3114" w:type="dxa"/>
          </w:tcPr>
          <w:p w:rsidR="008366F7" w:rsidRDefault="008366F7" w:rsidP="00363261">
            <w:pPr>
              <w:jc w:val="center"/>
              <w:rPr>
                <w:rFonts w:ascii="Times New Roman" w:hAnsi="Times New Roman" w:cs="Times New Roman"/>
              </w:rPr>
            </w:pPr>
          </w:p>
        </w:tc>
        <w:tc>
          <w:tcPr>
            <w:tcW w:w="3190" w:type="dxa"/>
            <w:tcBorders>
              <w:top w:val="single" w:sz="4" w:space="0" w:color="auto"/>
            </w:tcBorders>
          </w:tcPr>
          <w:p w:rsidR="008366F7" w:rsidRDefault="008366F7" w:rsidP="00363261">
            <w:pPr>
              <w:jc w:val="center"/>
              <w:rPr>
                <w:rFonts w:ascii="Times New Roman" w:hAnsi="Times New Roman" w:cs="Times New Roman"/>
              </w:rPr>
            </w:pPr>
            <w:r>
              <w:rPr>
                <w:rFonts w:ascii="Times New Roman" w:hAnsi="Times New Roman" w:cs="Times New Roman"/>
              </w:rPr>
              <w:t>By                   Title</w:t>
            </w:r>
          </w:p>
        </w:tc>
      </w:tr>
    </w:tbl>
    <w:p w:rsidR="008366F7" w:rsidRDefault="008366F7" w:rsidP="008366F7">
      <w:pPr>
        <w:jc w:val="center"/>
        <w:rPr>
          <w:rFonts w:ascii="Times New Roman" w:hAnsi="Times New Roman" w:cs="Times New Roman"/>
        </w:rPr>
      </w:pPr>
    </w:p>
    <w:p w:rsidR="008366F7" w:rsidRDefault="008366F7" w:rsidP="008366F7">
      <w:pPr>
        <w:rPr>
          <w:rFonts w:ascii="Times New Roman" w:hAnsi="Times New Roman" w:cs="Times New Roman"/>
        </w:rPr>
      </w:pPr>
    </w:p>
    <w:p w:rsidR="008366F7" w:rsidRDefault="008366F7" w:rsidP="008366F7">
      <w:pPr>
        <w:rPr>
          <w:rFonts w:ascii="Times New Roman" w:hAnsi="Times New Roman" w:cs="Times New Roman"/>
        </w:rPr>
      </w:pPr>
    </w:p>
    <w:p w:rsidR="008366F7" w:rsidRPr="00B90708" w:rsidRDefault="008366F7" w:rsidP="008366F7">
      <w:pPr>
        <w:jc w:val="center"/>
        <w:rPr>
          <w:rFonts w:ascii="Times New Roman" w:hAnsi="Times New Roman" w:cs="Times New Roman"/>
          <w:b/>
          <w:bCs/>
        </w:rPr>
      </w:pPr>
      <w:r w:rsidRPr="00B90708">
        <w:rPr>
          <w:rFonts w:ascii="Times New Roman" w:hAnsi="Times New Roman" w:cs="Times New Roman"/>
          <w:b/>
          <w:bCs/>
        </w:rPr>
        <w:t>EXHIBIT A</w:t>
      </w:r>
    </w:p>
    <w:p w:rsidR="008366F7" w:rsidRPr="00F7163D" w:rsidRDefault="008366F7" w:rsidP="008366F7">
      <w:pPr>
        <w:rPr>
          <w:rFonts w:ascii="Times New Roman" w:hAnsi="Times New Roman" w:cs="Times New Roman"/>
        </w:rPr>
      </w:pPr>
      <w:r w:rsidRPr="00F7163D">
        <w:rPr>
          <w:rFonts w:ascii="Times New Roman" w:hAnsi="Times New Roman" w:cs="Times New Roman"/>
        </w:rPr>
        <w:t>U.S. Patents &amp; Applications:</w:t>
      </w:r>
    </w:p>
    <w:tbl>
      <w:tblPr>
        <w:tblStyle w:val="TableGrid"/>
        <w:tblW w:w="0" w:type="auto"/>
        <w:tblLook w:val="04A0"/>
      </w:tblPr>
      <w:tblGrid>
        <w:gridCol w:w="1915"/>
        <w:gridCol w:w="1915"/>
        <w:gridCol w:w="1915"/>
        <w:gridCol w:w="1915"/>
        <w:gridCol w:w="1916"/>
      </w:tblGrid>
      <w:tr w:rsidR="008366F7" w:rsidRPr="00F7163D" w:rsidTr="00363261">
        <w:tc>
          <w:tcPr>
            <w:tcW w:w="191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U.S. Patent No.</w:t>
            </w:r>
          </w:p>
        </w:tc>
        <w:tc>
          <w:tcPr>
            <w:tcW w:w="191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U.S. Appl. No.</w:t>
            </w:r>
          </w:p>
        </w:tc>
        <w:tc>
          <w:tcPr>
            <w:tcW w:w="191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Filing Date</w:t>
            </w:r>
          </w:p>
        </w:tc>
        <w:tc>
          <w:tcPr>
            <w:tcW w:w="1915"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Issue Date</w:t>
            </w:r>
          </w:p>
        </w:tc>
        <w:tc>
          <w:tcPr>
            <w:tcW w:w="1916" w:type="dxa"/>
          </w:tcPr>
          <w:p w:rsidR="008366F7" w:rsidRPr="00F7163D" w:rsidRDefault="008366F7" w:rsidP="00363261">
            <w:pPr>
              <w:rPr>
                <w:rFonts w:ascii="Times New Roman" w:hAnsi="Times New Roman" w:cs="Times New Roman"/>
              </w:rPr>
            </w:pPr>
            <w:r w:rsidRPr="00F7163D">
              <w:rPr>
                <w:rFonts w:ascii="Times New Roman" w:hAnsi="Times New Roman" w:cs="Times New Roman"/>
              </w:rPr>
              <w:t>Title</w:t>
            </w:r>
          </w:p>
        </w:tc>
      </w:tr>
      <w:tr w:rsidR="008366F7" w:rsidRPr="00F7163D" w:rsidTr="00363261">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6" w:type="dxa"/>
          </w:tcPr>
          <w:p w:rsidR="008366F7" w:rsidRPr="00F7163D" w:rsidRDefault="008366F7" w:rsidP="00363261">
            <w:pPr>
              <w:rPr>
                <w:rFonts w:ascii="Times New Roman" w:hAnsi="Times New Roman" w:cs="Times New Roman"/>
              </w:rPr>
            </w:pPr>
          </w:p>
        </w:tc>
      </w:tr>
      <w:tr w:rsidR="008366F7" w:rsidRPr="00F7163D" w:rsidTr="00363261">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5" w:type="dxa"/>
          </w:tcPr>
          <w:p w:rsidR="008366F7" w:rsidRPr="00F7163D" w:rsidRDefault="008366F7" w:rsidP="00363261">
            <w:pPr>
              <w:rPr>
                <w:rFonts w:ascii="Times New Roman" w:hAnsi="Times New Roman" w:cs="Times New Roman"/>
              </w:rPr>
            </w:pPr>
          </w:p>
        </w:tc>
        <w:tc>
          <w:tcPr>
            <w:tcW w:w="1916" w:type="dxa"/>
          </w:tcPr>
          <w:p w:rsidR="008366F7" w:rsidRPr="00F7163D" w:rsidRDefault="008366F7" w:rsidP="00363261">
            <w:pPr>
              <w:rPr>
                <w:rFonts w:ascii="Times New Roman" w:hAnsi="Times New Roman" w:cs="Times New Roman"/>
              </w:rPr>
            </w:pPr>
          </w:p>
        </w:tc>
      </w:tr>
    </w:tbl>
    <w:p w:rsidR="008366F7" w:rsidRPr="00F7163D" w:rsidRDefault="008366F7" w:rsidP="008366F7">
      <w:pPr>
        <w:rPr>
          <w:rFonts w:ascii="Times New Roman" w:hAnsi="Times New Roman" w:cs="Times New Roman"/>
        </w:rPr>
      </w:pPr>
    </w:p>
    <w:p w:rsidR="008366F7" w:rsidRDefault="008366F7" w:rsidP="008366F7">
      <w:pPr>
        <w:jc w:val="center"/>
        <w:rPr>
          <w:rFonts w:ascii="Times New Roman" w:hAnsi="Times New Roman" w:cs="Times New Roman"/>
          <w:b/>
          <w:bCs/>
        </w:rPr>
      </w:pPr>
    </w:p>
    <w:p w:rsidR="008366F7" w:rsidRDefault="008366F7" w:rsidP="008366F7">
      <w:pPr>
        <w:jc w:val="center"/>
        <w:rPr>
          <w:rFonts w:ascii="Times New Roman" w:hAnsi="Times New Roman" w:cs="Times New Roman"/>
          <w:b/>
          <w:bCs/>
        </w:rPr>
      </w:pPr>
    </w:p>
    <w:p w:rsidR="008366F7" w:rsidRPr="00B90708" w:rsidRDefault="008366F7" w:rsidP="008366F7">
      <w:pPr>
        <w:jc w:val="center"/>
        <w:rPr>
          <w:rFonts w:ascii="Times New Roman" w:hAnsi="Times New Roman" w:cs="Times New Roman"/>
          <w:b/>
          <w:bCs/>
        </w:rPr>
      </w:pPr>
      <w:r w:rsidRPr="00B90708">
        <w:rPr>
          <w:rFonts w:ascii="Times New Roman" w:hAnsi="Times New Roman" w:cs="Times New Roman"/>
          <w:b/>
          <w:bCs/>
        </w:rPr>
        <w:t>EXHIBIT B</w:t>
      </w:r>
    </w:p>
    <w:p w:rsidR="00E16C01" w:rsidRPr="008366F7" w:rsidRDefault="008366F7" w:rsidP="008366F7">
      <w:pPr>
        <w:rPr>
          <w:rFonts w:ascii="Times New Roman" w:hAnsi="Times New Roman" w:cs="Times New Roman"/>
        </w:rPr>
      </w:pPr>
      <w:r w:rsidRPr="00F7163D">
        <w:rPr>
          <w:rFonts w:ascii="Times New Roman" w:hAnsi="Times New Roman" w:cs="Times New Roman"/>
        </w:rPr>
        <w:t>Purchase Price:</w:t>
      </w:r>
      <w:r>
        <w:rPr>
          <w:rFonts w:ascii="Times New Roman" w:hAnsi="Times New Roman" w:cs="Times New Roman"/>
        </w:rPr>
        <w:t xml:space="preserve">  ________________</w:t>
      </w:r>
    </w:p>
    <w:sectPr w:rsidR="00E16C01" w:rsidRPr="008366F7" w:rsidSect="00870C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defaultTabStop w:val="720"/>
  <w:characterSpacingControl w:val="doNotCompress"/>
  <w:compat/>
  <w:rsids>
    <w:rsidRoot w:val="008366F7"/>
    <w:rsid w:val="0020495F"/>
    <w:rsid w:val="002D6D30"/>
    <w:rsid w:val="00315BE7"/>
    <w:rsid w:val="00413596"/>
    <w:rsid w:val="004A500E"/>
    <w:rsid w:val="008366F7"/>
    <w:rsid w:val="00A35630"/>
    <w:rsid w:val="00B058D2"/>
    <w:rsid w:val="00C752EE"/>
    <w:rsid w:val="00D04829"/>
    <w:rsid w:val="00F222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dc:creator>
  <cp:lastModifiedBy>Uzi</cp:lastModifiedBy>
  <cp:revision>4</cp:revision>
  <dcterms:created xsi:type="dcterms:W3CDTF">2012-09-25T02:54:00Z</dcterms:created>
  <dcterms:modified xsi:type="dcterms:W3CDTF">2012-09-28T03:14:00Z</dcterms:modified>
</cp:coreProperties>
</file>