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307B1" w14:textId="77777777" w:rsidR="000D51A9" w:rsidRPr="000D51A9" w:rsidRDefault="000D51A9" w:rsidP="000D51A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TERM SHEET</w:t>
      </w:r>
    </w:p>
    <w:p w14:paraId="498B1087" w14:textId="77777777" w:rsidR="000D51A9" w:rsidRPr="000D51A9" w:rsidRDefault="000D51A9" w:rsidP="000D51A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for</w:t>
      </w:r>
      <w:proofErr w:type="gramEnd"/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the </w:t>
      </w:r>
    </w:p>
    <w:p w14:paraId="7705F55D" w14:textId="77777777" w:rsidR="000D51A9" w:rsidRPr="000D51A9" w:rsidRDefault="000D51A9" w:rsidP="000D51A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Open Licensing Program</w:t>
      </w:r>
    </w:p>
    <w:p w14:paraId="3AA2E753" w14:textId="77777777" w:rsidR="000D51A9" w:rsidRPr="000D51A9" w:rsidRDefault="000D51A9" w:rsidP="000D51A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</w:rPr>
        <w:t>Non-Binding - subject to NDA</w:t>
      </w:r>
    </w:p>
    <w:p w14:paraId="16911C6B" w14:textId="77777777" w:rsidR="000D51A9" w:rsidRPr="000D51A9" w:rsidRDefault="000D51A9" w:rsidP="000D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BF05D" w14:textId="77777777" w:rsidR="000D51A9" w:rsidRPr="000D51A9" w:rsidRDefault="000D51A9" w:rsidP="000D51A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Acquisition of Multi-Format patents _____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Patents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; April, ____, 2015</w:t>
      </w:r>
    </w:p>
    <w:p w14:paraId="7741022A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The purpose of this non-binding Term Sheet is to facilitate discussions between Syndicated Patent Acquisitions Corp. (“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”) and Multi-Format, Inc. ________________ (“Seller”) concerning the possible acquisition of certain of Seller’s patents by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A binding purchase commitment can only result from the execution of a mutually satisfactory Patent Purchase Agreement (“PPA”) between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Seller that incorporates the terms of this Term Sheet, except as such terms may be modified by mutual agreement. </w:t>
      </w:r>
    </w:p>
    <w:p w14:paraId="13FCF20F" w14:textId="77777777" w:rsidR="000D51A9" w:rsidRPr="000D51A9" w:rsidRDefault="000D51A9" w:rsidP="000D51A9">
      <w:pPr>
        <w:spacing w:after="120" w:line="240" w:lineRule="auto"/>
        <w:ind w:right="26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WHEREAS, Seller owns certain Patents (as hereinafter defined) related to HD video capture and display__________________ and is willing to sell the Patents to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 and</w:t>
      </w:r>
    </w:p>
    <w:p w14:paraId="69DED308" w14:textId="77777777" w:rsidR="000D51A9" w:rsidRPr="000D51A9" w:rsidRDefault="000D51A9" w:rsidP="000D51A9">
      <w:pPr>
        <w:spacing w:after="120" w:line="240" w:lineRule="auto"/>
        <w:ind w:right="26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WHEREAS,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is interested in purchasing the Patents from Seller pursuant to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SynPat’s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analysis  indicating</w:t>
      </w:r>
      <w:proofErr w:type="gram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that acquisition of the Patents for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SynPat’s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Open Licensing Program would allow more than ten (10) operating companies to obtain licenses under the Patents if offered for a regular license price of approximately $500,000____, and therefore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is willing to fund and execute a 100-day due diligence process to validate its analysis; and</w:t>
      </w:r>
    </w:p>
    <w:p w14:paraId="2452D2D8" w14:textId="77777777" w:rsidR="000D51A9" w:rsidRPr="000D51A9" w:rsidRDefault="000D51A9" w:rsidP="000D51A9">
      <w:pPr>
        <w:spacing w:after="120" w:line="240" w:lineRule="auto"/>
        <w:ind w:right="26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WHEREAS, the Parties are willing to engage in sale of the Patents according to the terms and conditions set forth herein.</w:t>
      </w:r>
    </w:p>
    <w:p w14:paraId="186F6264" w14:textId="77777777" w:rsidR="000D51A9" w:rsidRPr="000D51A9" w:rsidRDefault="000D51A9" w:rsidP="000D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E5978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Term:</w:t>
      </w:r>
    </w:p>
    <w:p w14:paraId="1B5AFA7B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within 100 days from signing the PPA,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does not inform Seller that the due diligence was completed successfully, the PPA will expire.</w:t>
      </w:r>
    </w:p>
    <w:p w14:paraId="0C4808C5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Acquisition:</w:t>
      </w:r>
    </w:p>
    <w:p w14:paraId="42851700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The rights to the Patents will be conveyed from Seller to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in two steps:</w:t>
      </w: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06D04600" w14:textId="77777777" w:rsidR="000D51A9" w:rsidRPr="000D51A9" w:rsidRDefault="000D51A9" w:rsidP="000D51A9">
      <w:pPr>
        <w:numPr>
          <w:ilvl w:val="0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Upon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SynPat’s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notice to Seller that the due diligence was completed successfully,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will be conveyed the exclusive right to grant licenses under the Patents.</w:t>
      </w:r>
    </w:p>
    <w:p w14:paraId="7F1A3028" w14:textId="77777777" w:rsidR="000D51A9" w:rsidRPr="000D51A9" w:rsidRDefault="000D51A9" w:rsidP="000D51A9">
      <w:pPr>
        <w:numPr>
          <w:ilvl w:val="0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Within 7 days from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SynPat’s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notice of successful due diligence, Seller will be paid  $1,000,000</w:t>
      </w:r>
    </w:p>
    <w:p w14:paraId="2AB67DA5" w14:textId="77777777" w:rsidR="000D51A9" w:rsidRPr="000D51A9" w:rsidRDefault="000D51A9" w:rsidP="000D51A9">
      <w:pPr>
        <w:numPr>
          <w:ilvl w:val="0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_________ (the “Upfront Price”), and upon such payment,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will be conveyed all other rights including title to the Patents. </w:t>
      </w:r>
    </w:p>
    <w:p w14:paraId="35FEFA62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 addition to the Upfront Price, Seller will receive from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one-third (1/3) of</w:t>
      </w: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any amount received by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during the Regular and the Risk Averse licensing stages, and also from any sale of the Patents (“Royalty Payments”).</w:t>
      </w:r>
    </w:p>
    <w:p w14:paraId="11D85A78" w14:textId="77777777" w:rsidR="000D51A9" w:rsidRPr="000D51A9" w:rsidRDefault="000D51A9" w:rsidP="000D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37168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Cost Licensing:</w:t>
      </w:r>
    </w:p>
    <w:p w14:paraId="68F26504" w14:textId="77777777" w:rsidR="000D51A9" w:rsidRPr="000D51A9" w:rsidRDefault="000D51A9" w:rsidP="000D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A3A2C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During the 100-day diligence period,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will offer companies, in exchange for an amount equal to the Upfront Price divided by the number of accepting companies (“Cost Price”), a non-exclusive license under the Patents, plus an amount equal to the Royalty Payments, which will be equally divided </w:t>
      </w:r>
      <w:proofErr w:type="gram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among  the</w:t>
      </w:r>
      <w:proofErr w:type="gram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accepting companies.  </w:t>
      </w: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  <w:t xml:space="preserve">In the event the addressable market is less responsive than expected and does not timely react to the opportunity to fund the acquisition,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may decide to include funds from financial sources.</w:t>
      </w:r>
    </w:p>
    <w:p w14:paraId="27367D28" w14:textId="77777777" w:rsidR="000D51A9" w:rsidRPr="000D51A9" w:rsidRDefault="000D51A9" w:rsidP="000D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C32D5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Regular Licensing:</w:t>
      </w:r>
    </w:p>
    <w:p w14:paraId="01E70447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During the four (4) month period following the Closing Date (“Regular Licensing”),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will offer licenses under the Patents at 50% markup on top of the Cost Price,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i.e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, at a price equal to 1.5 x Cost Price (“Regular Price”).</w:t>
      </w:r>
    </w:p>
    <w:p w14:paraId="169BC4AE" w14:textId="77777777" w:rsidR="000D51A9" w:rsidRPr="000D51A9" w:rsidRDefault="000D51A9" w:rsidP="000D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4F31E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Risk Averse Licensing:</w:t>
      </w:r>
    </w:p>
    <w:p w14:paraId="347FC7AD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After the four (4) month Regular Licensing stage (“Risk Averse Licensing”),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will offer licenses under the Patents at a premium price, equal to twice the Regular Price (“Validated Price”), reflecting the market’s acknowledgment and validation of the Patents.</w:t>
      </w:r>
    </w:p>
    <w:p w14:paraId="251C0267" w14:textId="77777777" w:rsidR="000D51A9" w:rsidRPr="000D51A9" w:rsidRDefault="000D51A9" w:rsidP="000D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4F8FE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Sale:</w:t>
      </w:r>
    </w:p>
    <w:p w14:paraId="7420FE5D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During the Risk Averse Licensing stage,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will be permitted to sell the Patents, and the Patents might be asserted against “free riders” (companies to whom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presents evidence of clear infringement, and yet, despite the offered opportunities to acquire a license under the Patents, such companies disregard the offers without challenging the evidence of use against them).</w:t>
      </w:r>
    </w:p>
    <w:p w14:paraId="30CB2AAD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Seller is entitled to mandate </w:t>
      </w:r>
      <w:r w:rsidRPr="000D51A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a priori</w:t>
      </w: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that after such a sale of the Patents by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, the Patents will not be asserted against free riders or any designated companies.</w:t>
      </w:r>
    </w:p>
    <w:p w14:paraId="7D30F01B" w14:textId="77777777" w:rsidR="000D51A9" w:rsidRPr="000D51A9" w:rsidRDefault="000D51A9" w:rsidP="000D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84407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Confidentiality:</w:t>
      </w:r>
    </w:p>
    <w:p w14:paraId="75D6A312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terms included herein are deemed confidential and subject to the Non-Disclosure Agreement in existence between </w:t>
      </w:r>
      <w:proofErr w:type="spellStart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SynPat</w:t>
      </w:r>
      <w:proofErr w:type="spellEnd"/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Seller.</w:t>
      </w:r>
    </w:p>
    <w:p w14:paraId="463AE446" w14:textId="77777777" w:rsidR="000D51A9" w:rsidRPr="000D51A9" w:rsidRDefault="000D51A9" w:rsidP="000D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541949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EXAMPLE</w:t>
      </w:r>
    </w:p>
    <w:p w14:paraId="215AE6C7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The following example assumes an addressable market of 10 licensees divided as follows:</w:t>
      </w:r>
    </w:p>
    <w:p w14:paraId="3754314B" w14:textId="77777777" w:rsidR="000D51A9" w:rsidRPr="000D51A9" w:rsidRDefault="000D51A9" w:rsidP="000D51A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In first 100 days: 30% of the market (3 Participants) will share a $1.2M Upfront Price, each pays $0.4M.</w:t>
      </w:r>
    </w:p>
    <w:p w14:paraId="33F3CB49" w14:textId="77777777" w:rsidR="000D51A9" w:rsidRPr="000D51A9" w:rsidRDefault="000D51A9" w:rsidP="000D51A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Within 4 months thereafter: 50% of the market (5 Regular Licensees) each of which will acquire a license at $0.6M</w:t>
      </w:r>
    </w:p>
    <w:p w14:paraId="2ACA7C79" w14:textId="77777777" w:rsidR="000D51A9" w:rsidRPr="000D51A9" w:rsidRDefault="000D51A9" w:rsidP="000D51A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Thereafter: 20% of the market (2 Risk Averse Licensees) each of which will acquire a license at $1.2M.</w:t>
      </w:r>
    </w:p>
    <w:p w14:paraId="3515F657" w14:textId="77777777" w:rsidR="000D51A9" w:rsidRPr="000D51A9" w:rsidRDefault="000D51A9" w:rsidP="000D51A9">
      <w:pPr>
        <w:numPr>
          <w:ilvl w:val="0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The total amount paid to Seller is $3M.</w:t>
      </w:r>
    </w:p>
    <w:p w14:paraId="26982CEB" w14:textId="77777777" w:rsidR="000D51A9" w:rsidRPr="000D51A9" w:rsidRDefault="000D51A9" w:rsidP="000D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FE786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641017A9" wp14:editId="5868A72E">
            <wp:extent cx="5946140" cy="4801870"/>
            <wp:effectExtent l="0" t="0" r="0" b="0"/>
            <wp:docPr id="1" name="Picture 1" descr="https://lh5.googleusercontent.com/C5jOSiMUL4lu04iLkUF-9Z0knOsrjldAUbtSfmFgo89VElVJtKyeP_7B_Vdb4VXie3kkR4DxzOQn8QZLL2pBLhMNRV2o6vcUe8OfN3c9QidU897kYRHTInXl3QCzi9JijsT1l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5jOSiMUL4lu04iLkUF-9Z0knOsrjldAUbtSfmFgo89VElVJtKyeP_7B_Vdb4VXie3kkR4DxzOQn8QZLL2pBLhMNRV2o6vcUe8OfN3c9QidU897kYRHTInXl3QCzi9JijsT1l_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C358" w14:textId="77777777" w:rsidR="000D51A9" w:rsidRPr="000D51A9" w:rsidRDefault="000D51A9" w:rsidP="000D51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(Source: </w:t>
      </w:r>
      <w:hyperlink r:id="rId6" w:history="1">
        <w:r w:rsidRPr="000D51A9">
          <w:rPr>
            <w:rFonts w:ascii="Times New Roman" w:eastAsia="Times New Roman" w:hAnsi="Times New Roman" w:cs="Times New Roman"/>
            <w:color w:val="1155CC"/>
            <w:sz w:val="23"/>
            <w:szCs w:val="23"/>
            <w:u w:val="single"/>
          </w:rPr>
          <w:t>www.synpat.com/patentees</w:t>
        </w:r>
      </w:hyperlink>
      <w:r w:rsidRPr="000D51A9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4B8FBB45" w14:textId="77777777" w:rsidR="00EA390B" w:rsidRDefault="000D51A9" w:rsidP="000D51A9">
      <w:r w:rsidRPr="000D51A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EA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5F5"/>
    <w:multiLevelType w:val="multilevel"/>
    <w:tmpl w:val="6A94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91623"/>
    <w:multiLevelType w:val="multilevel"/>
    <w:tmpl w:val="E924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A9"/>
    <w:rsid w:val="000D51A9"/>
    <w:rsid w:val="00EA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1C90"/>
  <w15:chartTrackingRefBased/>
  <w15:docId w15:val="{DEC7BC0C-EE0E-47C5-88AF-B9998D86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5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ynpat.com/patente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Smith</dc:creator>
  <cp:keywords/>
  <dc:description/>
  <cp:lastModifiedBy>Kerry Smith</cp:lastModifiedBy>
  <cp:revision>1</cp:revision>
  <dcterms:created xsi:type="dcterms:W3CDTF">2015-04-20T22:59:00Z</dcterms:created>
  <dcterms:modified xsi:type="dcterms:W3CDTF">2015-04-20T23:00:00Z</dcterms:modified>
</cp:coreProperties>
</file>