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2563EB" w:sz="14"/>
        </w:pBdr>
        <w:spacing w:after="140" w:before="12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Website Builder — Architecture &amp; Application Guide</w:t>
      </w:r>
    </w:p>
    <w:p>
      <w:pPr>
        <w:pStyle w:val="Heading2"/>
        <w:spacing w:after="90" w:before="260"/>
      </w:pPr>
      <w:r>
        <w:rPr>
          <w:rFonts w:ascii="Calibri" w:cs="Calibri" w:eastAsia="Calibri" w:hAnsi="Calibri"/>
          <w:b/>
          <w:bCs/>
          <w:color w:val="1D4ED8"/>
          <w:sz w:val="26"/>
          <w:szCs w:val="26"/>
        </w:rPr>
        <w:t xml:space="preserve">1. Executive Summary &amp; About the Application</w:t>
      </w:r>
    </w:p>
    <w:p>
      <w:pPr>
        <w:spacing w:after="90" w:line="276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Website Builder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is an AI-driven, full-stack application designed to generate, preview, edit, and export complete, responsive, single-file business landing pages from a short natural-language prompt.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1.1 The Core Thesis: Content as Data, Design as Code</w:t>
      </w:r>
    </w:p>
    <w:p>
      <w:pPr>
        <w:spacing w:after="90" w:line="276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Traditional AI site generation attempts to produce raw HTML and CSS directly from language models. This leads to broken layouts, invalid tags, inconsistent responsiveness, and security risks. </w:t>
      </w:r>
    </w:p>
    <w:p>
      <w:pPr>
        <w:spacing w:after="90" w:line="276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This application decouples content from design: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The AI generates structured JSON (`SiteConfig`)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: The LLM acts purely as a copywriter and content strategist, returning data conforming to a strict JSON schema introspected from template defaults.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React templates render the data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: 15 pre-built, domain-specific React components render the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SiteConfig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with hand-crafted typographic hierarchies, CSS grid systems, animations, and color tokens.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Decoupled transformations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: A user can change the template or color palette at any time without re-running the AI or regenerating content.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Deterministic degradation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: If LLMs fail, rate-limit, or time out, the system automatically falls back to curated niche presets. The user never receives a broken site.</w:t>
      </w:r>
    </w:p>
    <w:p>
      <w:pPr>
        <w:pBdr>
          <w:bottom w:val="single" w:color="CBD5E1" w:sz="6"/>
        </w:pBdr>
        <w:spacing w:after="120" w:before="12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/>
      </w:r>
    </w:p>
    <w:p>
      <w:pPr>
        <w:pStyle w:val="Heading2"/>
        <w:spacing w:after="90" w:before="260"/>
      </w:pPr>
      <w:r>
        <w:rPr>
          <w:rFonts w:ascii="Calibri" w:cs="Calibri" w:eastAsia="Calibri" w:hAnsi="Calibri"/>
          <w:b/>
          <w:bCs/>
          <w:color w:val="1D4ED8"/>
          <w:sz w:val="26"/>
          <w:szCs w:val="26"/>
        </w:rPr>
        <w:t xml:space="preserve">2. Technology Stack &amp; Key Dependencies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Frontend (Client SPA)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React 19 (`react`, `react-dom`)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: Modern React with hooks, functional components, and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renderToStaticMarkup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Vite 8 (`vite`, `@vitejs/plugin-react`)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: Fast HMR dev server and optimized production bundler.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Tailwind CSS 4 (`tailwindcss`, `@tailwindcss/vite`)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: Utility-first CSS framework for the builder application UI.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React Router 7 (`react-router-dom`)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: Declarative client-side routing.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Clerk (`@clerk/clerk-react`)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: User authentication with graceful anonymous fallback.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Framer Motion (`framer-motion`)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: Layout transitions, device switching animations, and modal overlays.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Lucide React (`lucide-react`)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: Comprehensive icon set.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UUID (`uuid`)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: Unique identifier generation for projects, versions, and orders.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Backend &amp; API Layer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Express 5 (`express`, `cors`, `dotenv`)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: Local development HTTP server mounted on port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3001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Vercel Serverless Functions (`@vercel/node`)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: Production serverless execution on Vercel.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MongoDB Driver (`mongodb`)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: Native Node.js MongoDB driver for Atlas persistence with in-memory fallback.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Crypto (`node:crypto`)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: HMAC-SHA256 verification for Razorpay payment signatures.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Docx (`docx`)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: Programmatic Microsoft Word document generation tooling.</w:t>
      </w:r>
    </w:p>
    <w:p>
      <w:pPr>
        <w:pBdr>
          <w:bottom w:val="single" w:color="CBD5E1" w:sz="6"/>
        </w:pBdr>
        <w:spacing w:after="120" w:before="12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/>
      </w:r>
    </w:p>
    <w:p>
      <w:pPr>
        <w:pStyle w:val="Heading2"/>
        <w:spacing w:after="90" w:before="260"/>
      </w:pPr>
      <w:r>
        <w:rPr>
          <w:rFonts w:ascii="Calibri" w:cs="Calibri" w:eastAsia="Calibri" w:hAnsi="Calibri"/>
          <w:b/>
          <w:bCs/>
          <w:color w:val="1D4ED8"/>
          <w:sz w:val="26"/>
          <w:szCs w:val="26"/>
        </w:rPr>
        <w:t xml:space="preserve">3. High-Level System Architecture</w:t>
      </w:r>
    </w:p>
    <w:p>
      <w:pPr>
        <w:shd w:fill="0F172A" w:color="0F172A" w:val="solid"/>
        <w:spacing w:after="0" w:before="100"/>
      </w:pPr>
      <w:r>
        <w:rPr>
          <w:rFonts w:ascii="Consolas" w:cs="Consolas" w:eastAsia="Consolas" w:hAnsi="Consolas"/>
          <w:sz w:val="4"/>
          <w:szCs w:val="4"/>
        </w:rPr>
        <w:t xml:space="preserve"> </w:t>
      </w:r>
    </w:p>
    <w:p>
      <w:pPr>
        <w:shd w:fill="0F172A" w:color="0F172A" w:val="solid"/>
        <w:spacing w:after="0" w:line="260"/>
        <w:ind w:left="24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0F172A" w:color="0F172A" w:val="solid"/>
        <w:spacing w:after="0" w:line="260"/>
        <w:ind w:left="24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                     CLIENT LAYER (React 19 SPA)                     │</w:t>
      </w:r>
    </w:p>
    <w:p>
      <w:pPr>
        <w:shd w:fill="0F172A" w:color="0F172A" w:val="solid"/>
        <w:spacing w:after="0" w:line="260"/>
        <w:ind w:left="24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                     Vite 8 • Tailwind CSS 4 • React Router 7         │</w:t>
      </w:r>
    </w:p>
    <w:p>
      <w:pPr>
        <w:shd w:fill="0F172A" w:color="0F172A" w:val="solid"/>
        <w:spacing w:after="0" w:line="260"/>
        <w:ind w:left="24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- Routes: Landing, Configure, Generate, Preview, Projects, Pricing,   │</w:t>
      </w:r>
    </w:p>
    <w:p>
      <w:pPr>
        <w:shd w:fill="0F172A" w:color="0F172A" w:val="solid"/>
        <w:spacing w:after="0" w:line="260"/>
        <w:ind w:left="24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         Admin, PreviewSandbox                                       │</w:t>
      </w:r>
    </w:p>
    <w:p>
      <w:pPr>
        <w:shd w:fill="0F172A" w:color="0F172A" w:val="solid"/>
        <w:spacing w:after="0" w:line="260"/>
        <w:ind w:left="24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- 15 Template Renderers (Atelier, Northline, Forma, Local Table...)   │</w:t>
      </w:r>
    </w:p>
    <w:p>
      <w:pPr>
        <w:shd w:fill="0F172A" w:color="0F172A" w:val="solid"/>
        <w:spacing w:after="0" w:line="260"/>
        <w:ind w:left="24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- In-place contentEditable DOM-to-Config path resolution              │</w:t>
      </w:r>
    </w:p>
    <w:p>
      <w:pPr>
        <w:shd w:fill="0F172A" w:color="0F172A" w:val="solid"/>
        <w:spacing w:after="0" w:line="260"/>
        <w:ind w:left="24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- Local-first state (localStorage credits, plans, version cache)      │</w:t>
      </w:r>
    </w:p>
    <w:p>
      <w:pPr>
        <w:shd w:fill="0F172A" w:color="0F172A" w:val="solid"/>
        <w:spacing w:after="0" w:line="260"/>
        <w:ind w:left="24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- Static HTML compiler (renderToStaticMarkup + inlined CSS bundle)    │</w:t>
      </w:r>
    </w:p>
    <w:p>
      <w:pPr>
        <w:shd w:fill="0F172A" w:color="0F172A" w:val="solid"/>
        <w:spacing w:after="0" w:line="260"/>
        <w:ind w:left="24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└───────────────────────────────────┬────────────────────────────────────┘</w:t>
      </w:r>
    </w:p>
    <w:p>
      <w:pPr>
        <w:shd w:fill="0F172A" w:color="0F172A" w:val="solid"/>
        <w:spacing w:after="0" w:line="260"/>
        <w:ind w:left="24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              │ HTTP / Server-Sent Events (SSE)</w:t>
      </w:r>
    </w:p>
    <w:p>
      <w:pPr>
        <w:shd w:fill="0F172A" w:color="0F172A" w:val="solid"/>
        <w:spacing w:after="0" w:line="260"/>
        <w:ind w:left="24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              ▼</w:t>
      </w:r>
    </w:p>
    <w:p>
      <w:pPr>
        <w:shd w:fill="0F172A" w:color="0F172A" w:val="solid"/>
        <w:spacing w:after="0" w:line="260"/>
        <w:ind w:left="24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0F172A" w:color="0F172A" w:val="solid"/>
        <w:spacing w:after="0" w:line="260"/>
        <w:ind w:left="24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                  API LAYER (Dual-Runtime Architecture)               │</w:t>
      </w:r>
    </w:p>
    <w:p>
      <w:pPr>
        <w:shd w:fill="0F172A" w:color="0F172A" w:val="solid"/>
        <w:spacing w:after="0" w:line="260"/>
        <w:ind w:left="24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      Local: Express 5 (:3001)  |  Production: Vercel Serverless     │</w:t>
      </w:r>
    </w:p>
    <w:p>
      <w:pPr>
        <w:shd w:fill="0F172A" w:color="0F172A" w:val="solid"/>
        <w:spacing w:after="0" w:line="260"/>
        <w:ind w:left="24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- Consolidated endpoints (&lt;12 function Hobby cap limit)               │</w:t>
      </w:r>
    </w:p>
    <w:p>
      <w:pPr>
        <w:shd w:fill="0F172A" w:color="0F172A" w:val="solid"/>
        <w:spacing w:after="0" w:line="260"/>
        <w:ind w:left="24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- generate-site-v2 (SSE stream, 60s maxDuration)                      │</w:t>
      </w:r>
    </w:p>
    <w:p>
      <w:pPr>
        <w:shd w:fill="0F172A" w:color="0F172A" w:val="solid"/>
        <w:spacing w:after="0" w:line="260"/>
        <w:ind w:left="24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- edit-site (semantic JSON patch engine)                              │</w:t>
      </w:r>
    </w:p>
    <w:p>
      <w:pPr>
        <w:shd w:fill="0F172A" w:color="0F172A" w:val="solid"/>
        <w:spacing w:after="0" w:line="260"/>
        <w:ind w:left="24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- razorpay (create-order + verify-payment HMAC SHA-256)               │</w:t>
      </w:r>
    </w:p>
    <w:p>
      <w:pPr>
        <w:shd w:fill="0F172A" w:color="0F172A" w:val="solid"/>
        <w:spacing w:after="0" w:line="260"/>
        <w:ind w:left="24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- projects, plans, me, admin, purchases, health                       │</w:t>
      </w:r>
    </w:p>
    <w:p>
      <w:pPr>
        <w:shd w:fill="0F172A" w:color="0F172A" w:val="solid"/>
        <w:spacing w:after="0" w:line="260"/>
        <w:ind w:left="24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└──────────────┬──────────────────┬─────────────────┬────────────────────┘</w:t>
      </w:r>
    </w:p>
    <w:p>
      <w:pPr>
        <w:shd w:fill="0F172A" w:color="0F172A" w:val="solid"/>
        <w:spacing w:after="0" w:line="260"/>
        <w:ind w:left="24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│                  │                 │</w:t>
      </w:r>
    </w:p>
    <w:p>
      <w:pPr>
        <w:shd w:fill="0F172A" w:color="0F172A" w:val="solid"/>
        <w:spacing w:after="0" w:line="260"/>
        <w:ind w:left="24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▼                  ▼                 ▼</w:t>
      </w:r>
    </w:p>
    <w:p>
      <w:pPr>
        <w:shd w:fill="0F172A" w:color="0F172A" w:val="solid"/>
        <w:spacing w:after="0" w:line="260"/>
        <w:ind w:left="24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┌──────────────────────┐ ┌───────────────┐ ┌──────────────────────────┐</w:t>
      </w:r>
    </w:p>
    <w:p>
      <w:pPr>
        <w:shd w:fill="0F172A" w:color="0F172A" w:val="solid"/>
        <w:spacing w:after="0" w:line="260"/>
        <w:ind w:left="24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│     AI PROVIDERS     │ │    STORAGE    │ │    EXTERNAL SERVICES     │</w:t>
      </w:r>
    </w:p>
    <w:p>
      <w:pPr>
        <w:shd w:fill="0F172A" w:color="0F172A" w:val="solid"/>
        <w:spacing w:after="0" w:line="260"/>
        <w:ind w:left="24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│  NVIDIA NIM (20B)    │ │ MongoDB Atlas │ │ Razorpay (Payments)      │</w:t>
      </w:r>
    </w:p>
    <w:p>
      <w:pPr>
        <w:shd w:fill="0F172A" w:color="0F172A" w:val="solid"/>
        <w:spacing w:after="0" w:line="260"/>
        <w:ind w:left="24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│  Groq (Llama 3.1 8B) │ │  with In-Mem  │ │ Unsplash CDN (Images)    │</w:t>
      </w:r>
    </w:p>
    <w:p>
      <w:pPr>
        <w:shd w:fill="0F172A" w:color="0F172A" w:val="solid"/>
        <w:spacing w:after="0" w:line="260"/>
        <w:ind w:left="24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│  OpenRouter Fallback │ │  Fallback     │ │ Clerk (Optional Auth)    │</w:t>
      </w:r>
    </w:p>
    <w:p>
      <w:pPr>
        <w:shd w:fill="0F172A" w:color="0F172A" w:val="solid"/>
        <w:spacing w:after="0" w:line="260"/>
        <w:ind w:left="24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└──────────────────────┘ └───────────────┘ └──────────────────────────┘</w:t>
      </w:r>
    </w:p>
    <w:p>
      <w:pPr>
        <w:shd w:fill="0F172A" w:color="0F172A" w:val="solid"/>
        <w:spacing w:after="100" w:before="0"/>
      </w:pPr>
      <w:r>
        <w:rPr>
          <w:rFonts w:ascii="Consolas" w:cs="Consolas" w:eastAsia="Consolas" w:hAnsi="Consolas"/>
          <w:sz w:val="4"/>
          <w:szCs w:val="4"/>
        </w:rPr>
        <w:t xml:space="preserve"> </w:t>
      </w:r>
    </w:p>
    <w:p>
      <w:pPr>
        <w:pBdr>
          <w:bottom w:val="single" w:color="CBD5E1" w:sz="6"/>
        </w:pBdr>
        <w:spacing w:after="120" w:before="12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/>
      </w:r>
    </w:p>
    <w:p>
      <w:pPr>
        <w:pStyle w:val="Heading2"/>
        <w:spacing w:after="90" w:before="260"/>
      </w:pPr>
      <w:r>
        <w:rPr>
          <w:rFonts w:ascii="Calibri" w:cs="Calibri" w:eastAsia="Calibri" w:hAnsi="Calibri"/>
          <w:b/>
          <w:bCs/>
          <w:color w:val="1D4ED8"/>
          <w:sz w:val="26"/>
          <w:szCs w:val="26"/>
        </w:rPr>
        <w:t xml:space="preserve">4. The Core Data Contract (`SiteConfig`)</w:t>
      </w:r>
    </w:p>
    <w:p>
      <w:pPr>
        <w:spacing w:after="90" w:line="276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The universal contract between the AI generation pipeline, the templates, the visual editor, and the export engine is defined in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src/types/index.ts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:</w:t>
      </w:r>
    </w:p>
    <w:p>
      <w:pPr>
        <w:shd w:fill="0F172A" w:color="0F172A" w:val="solid"/>
        <w:spacing w:after="0" w:before="100"/>
      </w:pPr>
      <w:r>
        <w:rPr>
          <w:rFonts w:ascii="Consolas" w:cs="Consolas" w:eastAsia="Consolas" w:hAnsi="Consolas"/>
          <w:sz w:val="4"/>
          <w:szCs w:val="4"/>
        </w:rPr>
        <w:t xml:space="preserve"> </w:t>
      </w:r>
    </w:p>
    <w:p>
      <w:pPr>
        <w:shd w:fill="0F172A" w:color="0F172A" w:val="solid"/>
        <w:spacing w:after="0" w:line="260"/>
        <w:ind w:left="24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export interface ThemeTokens {</w:t>
      </w:r>
    </w:p>
    <w:p>
      <w:pPr>
        <w:shd w:fill="0F172A" w:color="0F172A" w:val="solid"/>
        <w:spacing w:after="0" w:line="260"/>
        <w:ind w:left="24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background: string;</w:t>
      </w:r>
    </w:p>
    <w:p>
      <w:pPr>
        <w:shd w:fill="0F172A" w:color="0F172A" w:val="solid"/>
        <w:spacing w:after="0" w:line="260"/>
        <w:ind w:left="24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foreground: string;</w:t>
      </w:r>
    </w:p>
    <w:p>
      <w:pPr>
        <w:shd w:fill="0F172A" w:color="0F172A" w:val="solid"/>
        <w:spacing w:after="0" w:line="260"/>
        <w:ind w:left="24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accent: string;</w:t>
      </w:r>
    </w:p>
    <w:p>
      <w:pPr>
        <w:shd w:fill="0F172A" w:color="0F172A" w:val="solid"/>
        <w:spacing w:after="0" w:line="260"/>
        <w:ind w:left="24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muted: string;</w:t>
      </w:r>
    </w:p>
    <w:p>
      <w:pPr>
        <w:shd w:fill="0F172A" w:color="0F172A" w:val="solid"/>
        <w:spacing w:after="0" w:line="260"/>
        <w:ind w:left="24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surface?: string;</w:t>
      </w:r>
    </w:p>
    <w:p>
      <w:pPr>
        <w:shd w:fill="0F172A" w:color="0F172A" w:val="solid"/>
        <w:spacing w:after="0" w:line="260"/>
        <w:ind w:left="24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border?: string;</w:t>
      </w:r>
    </w:p>
    <w:p>
      <w:pPr>
        <w:shd w:fill="0F172A" w:color="0F172A" w:val="solid"/>
        <w:spacing w:after="0" w:line="260"/>
        <w:ind w:left="24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}</w:t>
      </w:r>
    </w:p>
    <w:p>
      <w:pPr>
        <w:shd w:fill="0F172A" w:color="0F172A" w:val="solid"/>
        <w:spacing w:after="0" w:line="260"/>
        <w:ind w:left="24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</w:t>
      </w:r>
    </w:p>
    <w:p>
      <w:pPr>
        <w:shd w:fill="0F172A" w:color="0F172A" w:val="solid"/>
        <w:spacing w:after="0" w:line="260"/>
        <w:ind w:left="24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export interface SiteConfig {</w:t>
      </w:r>
    </w:p>
    <w:p>
      <w:pPr>
        <w:shd w:fill="0F172A" w:color="0F172A" w:val="solid"/>
        <w:spacing w:after="0" w:line="260"/>
        <w:ind w:left="24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brandName: string;</w:t>
      </w:r>
    </w:p>
    <w:p>
      <w:pPr>
        <w:shd w:fill="0F172A" w:color="0F172A" w:val="solid"/>
        <w:spacing w:after="0" w:line="260"/>
        <w:ind w:left="24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tagline: string;</w:t>
      </w:r>
    </w:p>
    <w:p>
      <w:pPr>
        <w:shd w:fill="0F172A" w:color="0F172A" w:val="solid"/>
        <w:spacing w:after="0" w:line="260"/>
        <w:ind w:left="24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description: string;</w:t>
      </w:r>
    </w:p>
    <w:p>
      <w:pPr>
        <w:shd w:fill="0F172A" w:color="0F172A" w:val="solid"/>
        <w:spacing w:after="0" w:line="260"/>
        <w:ind w:left="24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ctaPrimary: string;</w:t>
      </w:r>
    </w:p>
    <w:p>
      <w:pPr>
        <w:shd w:fill="0F172A" w:color="0F172A" w:val="solid"/>
        <w:spacing w:after="0" w:line="260"/>
        <w:ind w:left="24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ctaSecondary: string;</w:t>
      </w:r>
    </w:p>
    <w:p>
      <w:pPr>
        <w:shd w:fill="0F172A" w:color="0F172A" w:val="solid"/>
        <w:spacing w:after="0" w:line="260"/>
        <w:ind w:left="24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niche: string;</w:t>
      </w:r>
    </w:p>
    <w:p>
      <w:pPr>
        <w:shd w:fill="0F172A" w:color="0F172A" w:val="solid"/>
        <w:spacing w:after="0" w:line="260"/>
        <w:ind w:left="24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theme: ThemeTokens;</w:t>
      </w:r>
    </w:p>
    <w:p>
      <w:pPr>
        <w:shd w:fill="0F172A" w:color="0F172A" w:val="solid"/>
        <w:spacing w:after="0" w:line="260"/>
        <w:ind w:left="24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sections: Record&lt;string, unknown&gt;;</w:t>
      </w:r>
    </w:p>
    <w:p>
      <w:pPr>
        <w:shd w:fill="0F172A" w:color="0F172A" w:val="solid"/>
        <w:spacing w:after="0" w:line="260"/>
        <w:ind w:left="24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imagePrompts: Record&lt;string, string&gt;;</w:t>
      </w:r>
    </w:p>
    <w:p>
      <w:pPr>
        <w:shd w:fill="0F172A" w:color="0F172A" w:val="solid"/>
        <w:spacing w:after="0" w:line="260"/>
        <w:ind w:left="24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}</w:t>
      </w:r>
    </w:p>
    <w:p>
      <w:pPr>
        <w:shd w:fill="0F172A" w:color="0F172A" w:val="solid"/>
        <w:spacing w:after="100" w:before="0"/>
      </w:pPr>
      <w:r>
        <w:rPr>
          <w:rFonts w:ascii="Consolas" w:cs="Consolas" w:eastAsia="Consolas" w:hAnsi="Consolas"/>
          <w:sz w:val="4"/>
          <w:szCs w:val="4"/>
        </w:rPr>
        <w:t xml:space="preserve"> 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4.1 Schema Introspection in Generation (`api/generate-site-v2.ts`)</w:t>
      </w:r>
    </w:p>
    <w:p>
      <w:pPr>
        <w:spacing w:after="90" w:line="276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Rather than maintaining separate schemas for each of the 15 templates, the backend performs runtime schema introspection: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getApiTemplate(templateId)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fetches the template default content.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collectEnums(sections)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recursively scans the section tree to discover categorical fields (e.g. badge types, alignment options).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serializeSpecLines()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generates a type-masked JSON specification (replacing actual text with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"string"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, numbers with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"number"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, etc.).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The masked schema is injected into the LLM prompt with strict rules: *match every key exactly, respect allowed enums, generate zero HTML or image URLs*.</w:t>
      </w:r>
    </w:p>
    <w:p>
      <w:pPr>
        <w:pBdr>
          <w:bottom w:val="single" w:color="CBD5E1" w:sz="6"/>
        </w:pBdr>
        <w:spacing w:after="120" w:before="12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/>
      </w:r>
    </w:p>
    <w:p>
      <w:pPr>
        <w:pStyle w:val="Heading2"/>
        <w:spacing w:after="90" w:before="260"/>
      </w:pPr>
      <w:r>
        <w:rPr>
          <w:rFonts w:ascii="Calibri" w:cs="Calibri" w:eastAsia="Calibri" w:hAnsi="Calibri"/>
          <w:b/>
          <w:bCs/>
          <w:color w:val="1D4ED8"/>
          <w:sz w:val="26"/>
          <w:szCs w:val="26"/>
        </w:rPr>
        <w:t xml:space="preserve">5. End-to-End User Journeys &amp; Frontend Workflows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5.1 Route Map (`src/App.tsx`)</w:t>
      </w:r>
    </w:p>
    <w:p>
      <w:pPr>
        <w:spacing w:after="90" w:line="276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The application defines 8 distinct routes: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/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src/pages/Landing.tsx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): Showcase of the 15 templates, hero messaging, and feature highlights.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/configure/:templateId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src/pages/Configure.tsx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): 3-step configuration wizard (Niche selection, Palette picker, Business brief &amp; instructions).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/generate/:templateId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src/pages/Generate.tsx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): Real-time generation progress monitor with Server-Sent Events (SSE).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/preview/:projectId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src/pages/Preview.tsx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): Main studio view with responsive device switcher (Desktop, Tablet, Mobile), AI command bar, version history drawer, and export buttons.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/preview-sandbox/:projectId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src/pages/PreviewSandbox.tsx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): Isolated iframe target rendering the site without chrome, featuring the live in-place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contentEditable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visual editor.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/projects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src/pages/Projects.tsx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): Grid of user-created websites, with options to duplicate, edit, or delete.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/pricing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src/pages/Pricing.tsx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): Credit packs catalog with Razorpay Checkout integration.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/admin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src/pages/Admin.tsx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): Role-gated administration dashboard for plan management and sales analytics.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5.2 Live In-Place Visual Editing (`src/pages/PreviewSandbox.tsx`)</w:t>
      </w:r>
    </w:p>
    <w:p>
      <w:pPr>
        <w:spacing w:after="90" w:line="276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The application provides an intuitive direct-manipulation editing experience: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DOM-to-Config Indexing (`src/lib/inlineEdit.ts`)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: 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collectTextValues()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walks the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SiteConfig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object and extracts every leaf string (under 200 chars), tracking its dot-delimited path (e.g.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sections.hero.headline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sections.services.items[0].title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).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buildTextIndex()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creates a bidirectional map between rendered text and its exact JSON path.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contentEditable Activation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: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In edit mode, text elements (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h1, h2, p, span, li, button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, etc.) become interactive.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Clicking an element sets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contentEditable = true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and shows a focus ring.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Pressing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Enter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or blurring commits the change.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getPathValue()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setPathValue()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src/lib/editConfig.ts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) update the configuration without mutating unaffected keys.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Updates are debounced with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commitRef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(500ms) and saved to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localStorage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and synced to the database.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In-Browser Image Replacement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: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Clicking an image opens a native file picker.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The selected image is loaded into an HTML5 Canvas via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resizeImageForStorage()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, resized to maximum dimensions (1200px), compressed to JPEG at 0.85 quality, and stored as an optimized base64 data URI directly in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imagePrompts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</w:t>
      </w:r>
    </w:p>
    <w:p>
      <w:pPr>
        <w:pBdr>
          <w:bottom w:val="single" w:color="CBD5E1" w:sz="6"/>
        </w:pBdr>
        <w:spacing w:after="120" w:before="12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/>
      </w:r>
    </w:p>
    <w:p>
      <w:pPr>
        <w:pStyle w:val="Heading2"/>
        <w:spacing w:after="90" w:before="260"/>
      </w:pPr>
      <w:r>
        <w:rPr>
          <w:rFonts w:ascii="Calibri" w:cs="Calibri" w:eastAsia="Calibri" w:hAnsi="Calibri"/>
          <w:b/>
          <w:bCs/>
          <w:color w:val="1D4ED8"/>
          <w:sz w:val="26"/>
          <w:szCs w:val="26"/>
        </w:rPr>
        <w:t xml:space="preserve">6. AI Generation &amp; Multi-Provider Orchestration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6.1 Multi-Provider Race &amp; Fallback (`api/_lib/llm.ts`)</w:t>
      </w:r>
    </w:p>
    <w:p>
      <w:pPr>
        <w:spacing w:after="90" w:line="276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To maximize reliability and reduce latency, the backend orchestrates multiple AI providers concurrently using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Promise.any()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and per-provider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AbortController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timeouts: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color="1E293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color="1E293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 / Endpoint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color="1E293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 &amp; Behavior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color="1E293B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 Budget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NVIDIA NIM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991B1B"/>
                <w:sz w:val="19"/>
                <w:szCs w:val="19"/>
                <w:shd w:fill="FEE2E2" w:color="FEE2E2" w:val="solid"/>
              </w:rPr>
              <w:t xml:space="preserve"> openai/gpt-oss-20b 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4155"/>
                <w:sz w:val="21"/>
                <w:szCs w:val="21"/>
              </w:rPr>
              <w:t xml:space="preserve">High reliability; primary generator; handles long contexts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4155"/>
                <w:sz w:val="21"/>
                <w:szCs w:val="21"/>
              </w:rPr>
              <w:t xml:space="preserve">90s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Groq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991B1B"/>
                <w:sz w:val="19"/>
                <w:szCs w:val="19"/>
                <w:shd w:fill="FEE2E2" w:color="FEE2E2" w:val="solid"/>
              </w:rPr>
              <w:t xml:space="preserve"> llama-3.1-8b-instant 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4155"/>
                <w:sz w:val="21"/>
                <w:szCs w:val="21"/>
              </w:rPr>
              <w:t xml:space="preserve">Ultra-fast execution (~5-10s); races against NIM for free tier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4155"/>
                <w:sz w:val="21"/>
                <w:szCs w:val="21"/>
              </w:rPr>
              <w:t xml:space="preserve">20s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OpenRouter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4155"/>
                <w:sz w:val="21"/>
                <w:szCs w:val="21"/>
              </w:rPr>
              <w:t xml:space="preserve">Configured OpenRouter models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4155"/>
                <w:sz w:val="21"/>
                <w:szCs w:val="21"/>
              </w:rPr>
              <w:t xml:space="preserve">Universal fallback and streaming token generator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4155"/>
                <w:sz w:val="21"/>
                <w:szCs w:val="21"/>
              </w:rPr>
              <w:t xml:space="preserve">60s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/>
      </w:r>
    </w:p>
    <w:p>
      <w:pPr>
        <w:spacing w:after="90" w:line="276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#### The Racing Strategy: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Free Tier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: Groq (20s) races against NVIDIA NIM (90s). The moment the first valid response completes,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Promise.any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resolves and the loser is immediately aborted via its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AbortController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 If both fail, it falls back to OpenRouter.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Priority Tier (Paid Users)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: Skips the Groq leg entirely and races NVIDIA NIM directly against OpenRouter.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Hard Wall-Clock Ceiling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: All LLM calls are bound to an overall 115-second wall clock.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6.2 Streaming Generation via SSE (`api/generate-site-v2.ts`)</w:t>
      </w:r>
    </w:p>
    <w:p>
      <w:pPr>
        <w:spacing w:after="90" w:line="276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The generator opens a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text/event-stream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connection and yields granular progress events: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{"type":"step","step":"prepare"}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: Introspecting template schema and building the system prompt.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{"type":"step","step":"images"}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: Selecting niche-matched image assets from curated Unsplash pools.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{"type":"progress","chars":N,"elapsedMs":M}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: Emitting token count updates as the AI writes copy.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{"type":"result","config":{...},"elapsedMs":M}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: Emitting the completed, validated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SiteConfig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6.3 Semantic AI Editing (`api/edit-site.ts`)</w:t>
      </w:r>
    </w:p>
    <w:p>
      <w:pPr>
        <w:spacing w:after="90" w:line="276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When users request natural-language changes ("make the tone punchier", "change the accent color to emerald"):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The backend recursively strips all image URLs via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stripImages()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using a blacklist (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IMAGE_KEYS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), reducing prompt tokens by ~40%.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The model receives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CURRENT CONFIG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CHANGE REQUEST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, and returns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only a JSON delta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of changed fields.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deepMerge()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recursively patches the delta onto the existing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SiteConfig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 Unchanged sections, items, and image assignments remain untouched.</w:t>
      </w:r>
    </w:p>
    <w:p>
      <w:pPr>
        <w:pBdr>
          <w:bottom w:val="single" w:color="CBD5E1" w:sz="6"/>
        </w:pBdr>
        <w:spacing w:after="120" w:before="12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/>
      </w:r>
    </w:p>
    <w:p>
      <w:pPr>
        <w:pStyle w:val="Heading2"/>
        <w:spacing w:after="90" w:before="260"/>
      </w:pPr>
      <w:r>
        <w:rPr>
          <w:rFonts w:ascii="Calibri" w:cs="Calibri" w:eastAsia="Calibri" w:hAnsi="Calibri"/>
          <w:b/>
          <w:bCs/>
          <w:color w:val="1D4ED8"/>
          <w:sz w:val="26"/>
          <w:szCs w:val="26"/>
        </w:rPr>
        <w:t xml:space="preserve">7. Zero-Runtime Static HTML Export Engine (`src/lib/exportSite.ts`)</w:t>
      </w:r>
    </w:p>
    <w:p>
      <w:pPr>
        <w:spacing w:after="90" w:line="276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The export pipeline converts the React application state into an independent, production-ready static website: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Static Markup Generation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: Imports the target template's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Renderer.tsx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and executes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renderToStaticMarkup(createElement(Renderer, { config }))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CSS Inlining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: Bundles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TEMPLATE_CSS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containing base resets, smooth scrolling, entrance keyframes (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fadeInUp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), hover transitions (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tpl-card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), and responsive media queries (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@media (max-width: 768px)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640px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480px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React 19 Inline Style Handling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: React 19 serializes inline style attributes without spaces after colons (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display:flex;gap:32px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). The export engine's CSS rules use matching attribute substring selectors (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[style*="display:flex"]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) to ensure responsive rules match accurately.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Standalone Output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: Returns a single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.html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file with zero React runtime, zero JavaScript framework dependencies, and self-contained styling, deployable to GitHub Pages, Netlify, Vercel, or traditional cPanel hosting.</w:t>
      </w:r>
    </w:p>
    <w:p>
      <w:pPr>
        <w:pBdr>
          <w:bottom w:val="single" w:color="CBD5E1" w:sz="6"/>
        </w:pBdr>
        <w:spacing w:after="120" w:before="12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/>
      </w:r>
    </w:p>
    <w:p>
      <w:pPr>
        <w:pStyle w:val="Heading2"/>
        <w:spacing w:after="90" w:before="260"/>
      </w:pPr>
      <w:r>
        <w:rPr>
          <w:rFonts w:ascii="Calibri" w:cs="Calibri" w:eastAsia="Calibri" w:hAnsi="Calibri"/>
          <w:b/>
          <w:bCs/>
          <w:color w:val="1D4ED8"/>
          <w:sz w:val="26"/>
          <w:szCs w:val="26"/>
        </w:rPr>
        <w:t xml:space="preserve">8. Backend Architecture &amp; Dual-Runtime Deployment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8.1 Dual-Runtime Pattern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Development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: An Express 5 server in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server/index.ts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runs on port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3001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 To solve ESM import hoisting (where static imports evaluate before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dotenv.config()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),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server/index.ts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configures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dotenv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with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override: true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first, then dynamically imports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server/app.ts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Production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: Handlers in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api/*.ts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are deployed as Vercel Serverless Functions.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8.2 Vercel Hobby 12-Function Cap Consolidation</w:t>
      </w:r>
    </w:p>
    <w:p>
      <w:pPr>
        <w:spacing w:after="90" w:line="276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Vercel Hobby accounts restrict projects to at most 12 serverless functions. Related endpoints are consolidated into single files using URL-based dispatchers: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api/razorpay.ts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: Dispatches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POST /api/razorpay/create-order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POST /api/razorpay/verify-payment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api/admin.ts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: Dispatches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GET /api/admin-config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GET /api/admin-stats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api/projects.ts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: Dispatches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GET /api/projects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POST /api/projects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GET /api/projects/:id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PUT /api/projects/:id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DELETE /api/projects/:id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api/plans.ts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: Dispatches catalog listing, plan upsert, plan delete, and reset-to-defaults.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api/me.ts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: Dispatches user credit balance retrieval and credit spend tracking.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api/health.ts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: Dispatches uptime and MongoDB connection checks.</w:t>
      </w:r>
    </w:p>
    <w:p>
      <w:pPr>
        <w:pBdr>
          <w:bottom w:val="single" w:color="CBD5E1" w:sz="6"/>
        </w:pBdr>
        <w:spacing w:after="120" w:before="12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/>
      </w:r>
    </w:p>
    <w:p>
      <w:pPr>
        <w:pStyle w:val="Heading2"/>
        <w:spacing w:after="90" w:before="260"/>
      </w:pPr>
      <w:r>
        <w:rPr>
          <w:rFonts w:ascii="Calibri" w:cs="Calibri" w:eastAsia="Calibri" w:hAnsi="Calibri"/>
          <w:b/>
          <w:bCs/>
          <w:color w:val="1D4ED8"/>
          <w:sz w:val="26"/>
          <w:szCs w:val="26"/>
        </w:rPr>
        <w:t xml:space="preserve">9. Data Persistence &amp; Multi-Tier Resilience (`api/_lib/db.ts`)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9.1 The `withFallback` Resilience Pattern</w:t>
      </w:r>
    </w:p>
    <w:p>
      <w:pPr>
        <w:spacing w:after="90" w:line="276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Database interactions are wrapped in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withFallback(primaryFn, memoryFn)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No MongoDB URI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: Operates immediately in-memory for zero-setup local development.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DNS Patching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: Executes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dns.setServers(['8.8.8.8', '1.1.1.1'])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to bypass ISP-level SRV resolution failures on Windows networks.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Automatic Circuit Breaker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: If MongoDB Atlas connection drops or times out (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serverSelectionTimeoutMS: 4000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), the process permanently flips to an in-memory dictionary. The API never crashes or drops requests.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9.2 Data Collections Schema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projects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: Stores website instances (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id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userId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name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templateId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niche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palette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config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createdAt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updatedAt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purchases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: Records verified Razorpay transactions (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id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userId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planId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price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credits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paymentId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exportAccess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plans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: Dynamic catalog of plans (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id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name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tagline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price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currency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credits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features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exportAccess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popular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active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users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: Ledger tracking cumulative credit spend (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userId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creditsSpent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updatedAt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) using atomic MongoDB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$inc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operations.</w:t>
      </w:r>
    </w:p>
    <w:p>
      <w:pPr>
        <w:pBdr>
          <w:bottom w:val="single" w:color="CBD5E1" w:sz="6"/>
        </w:pBdr>
        <w:spacing w:after="120" w:before="12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/>
      </w:r>
    </w:p>
    <w:p>
      <w:pPr>
        <w:pStyle w:val="Heading2"/>
        <w:spacing w:after="90" w:before="260"/>
      </w:pPr>
      <w:r>
        <w:rPr>
          <w:rFonts w:ascii="Calibri" w:cs="Calibri" w:eastAsia="Calibri" w:hAnsi="Calibri"/>
          <w:b/>
          <w:bCs/>
          <w:color w:val="1D4ED8"/>
          <w:sz w:val="26"/>
          <w:szCs w:val="26"/>
        </w:rPr>
        <w:t xml:space="preserve">10. Monetization, Credit Ledger &amp; Payments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10.1 Credit Economics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Initial Free Credits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: New users receive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FREE_START_CREDITS = 3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Consumption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: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Full site generation / regeneration =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1.0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credit.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Semantic AI edit =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0.5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credit.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Instant generation =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0.0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credit.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Credit Balance Equation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:</w:t>
      </w:r>
    </w:p>
    <w:p>
      <w:pPr>
        <w:spacing w:after="90" w:line="276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  $$\text{Balance} = \text{Free Credits (3)} + \sum \text{Purchased Credits} - \text{Credits Spent}$$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10.2 Razorpay Payment Flow (`api/razorpay.ts`)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Order Creation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: Client calls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/api/razorpay/create-order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with the plan price. Server computes amount in paise (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amount * 100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) and calls Razorpay Orders API via HTTP Basic Auth.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Client Checkout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: Razorpay Checkout modal opens with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keyId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orderId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Cryptographic Verification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: On checkout completion, client sends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orderId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paymentId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, and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signature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to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/api/razorpay/verify-payment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HMAC-SHA256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: The server re-computes:</w:t>
      </w:r>
    </w:p>
    <w:p>
      <w:pPr>
        <w:spacing w:after="90" w:line="276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   $$\text{expectedSignature} = \text{HMAC-SHA256}(\text{orderId} + "|" + \text{paymentId}, \text{RAZORPAY\_KEY\_SECRET})$$    Credits and export access are granted only if the signature matches.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Demo Simulation Mode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: Setting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RAZORPAY_DEMO=1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or running without keys enables simulated checkouts for end-to-end testing without real currency.</w:t>
      </w:r>
    </w:p>
    <w:p>
      <w:pPr>
        <w:pBdr>
          <w:bottom w:val="single" w:color="CBD5E1" w:sz="6"/>
        </w:pBdr>
        <w:spacing w:after="120" w:before="12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/>
      </w:r>
    </w:p>
    <w:p>
      <w:pPr>
        <w:pStyle w:val="Heading2"/>
        <w:spacing w:after="90" w:before="260"/>
      </w:pPr>
      <w:r>
        <w:rPr>
          <w:rFonts w:ascii="Calibri" w:cs="Calibri" w:eastAsia="Calibri" w:hAnsi="Calibri"/>
          <w:b/>
          <w:bCs/>
          <w:color w:val="1D4ED8"/>
          <w:sz w:val="26"/>
          <w:szCs w:val="26"/>
        </w:rPr>
        <w:t xml:space="preserve">11. Security, Role-Based Access &amp; Admin Portal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11.1 Authentication &amp; Authorization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Clerk Integration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: When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VITE_CLERK_PUBLISHABLE_KEY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is present, the app wraps in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ClerkProvider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 If absent, it operates in anonymous mode.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Superadmin Email Gate (`api/_lib/adminAuth.ts`)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: 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Compares the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x-admin-email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header or authenticated session against the comma-delimited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SUPERADMIN_EMAILS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environment variable.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Unauthorized requests to </w:t>
      </w:r>
      <w:r>
        <w:rPr>
          <w:rFonts w:ascii="Consolas" w:cs="Consolas" w:eastAsia="Consolas" w:hAnsi="Consolas"/>
          <w:color w:val="991B1B"/>
          <w:sz w:val="19"/>
          <w:szCs w:val="19"/>
          <w:shd w:fill="FEE2E2" w:color="FEE2E2" w:val="solid"/>
        </w:rPr>
        <w:t xml:space="preserve"> /api/admin-stats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receive HTTP 403 Forbidden.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11.2 Admin Capabilities (`src/pages/Admin.tsx`)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Real-Time Analytics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: Visualizes total projects created, total orders, gross revenue (INR), and cumulative credits consumed.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Plan Catalog Management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: Allows administrators to create custom pricing tiers, toggle plan visibility, modify pricing/credits, and mark plans as "Popular".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Database Reset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: One-click restore to restore default system plans (Seed, Growth, Scale).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/>
      </w:pBdr>
      <w:spacing w:before="140"/>
      <w:jc w:val="both"/>
    </w:pPr>
    <w:r>
      <w:rPr>
        <w:rFonts w:ascii="Calibri" w:cs="Calibri" w:eastAsia="Calibri" w:hAnsi="Calibri"/>
        <w:color w:val="64748B"/>
        <w:sz w:val="16"/>
        <w:szCs w:val="16"/>
      </w:rPr>
      <w:t xml:space="preserve">Confidential &amp; Internal Engineering Use</w:t>
    </w:r>
    CURRENTTOTAL_PAGES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2"/>
      </w:pBdr>
      <w:spacing w:after="140"/>
      <w:jc w:val="right"/>
    </w:pPr>
    <w:r>
      <w:rPr>
        <w:rFonts w:ascii="Calibri" w:cs="Calibri" w:eastAsia="Calibri" w:hAnsi="Calibri"/>
        <w:color w:val="64748B"/>
        <w:sz w:val="16"/>
        <w:szCs w:val="16"/>
      </w:rPr>
      <w:t xml:space="preserve">Website Builder — Architecture &amp; Application Guide  |  Technical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1"/>
        <w:szCs w:val="21"/>
      </w:rPr>
    </w:rPrDefault>
    <w:pPrDefault>
      <w:pPr>
        <w:spacing w:after="8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2026-09-16T14:24:35.923Z</dcterms:created>
  <dcterms:modified xsi:type="dcterms:W3CDTF">2026-09-16T14:24:35.924Z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