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 Unicode MS" w:hAnsi="Arial Unicode MS" w:eastAsia="Arial Unicode MS" w:hint="eastAsia"/>
          <w:b/>
          <w:color w:val="6F665F"/>
          <w:sz w:val="24"/>
        </w:rPr>
        <w:t>MateClaw 项目组</w:t>
      </w:r>
    </w:p>
    <w:p>
      <w:pPr>
        <w:spacing w:after="100"/>
        <w:jc w:val="center"/>
      </w:pPr>
      <w:r>
        <w:rPr>
          <w:rFonts w:ascii="Arial Unicode MS" w:hAnsi="Arial Unicode MS" w:eastAsia="Arial Unicode MS" w:hint="eastAsia"/>
          <w:b/>
          <w:color w:val="221E1B"/>
          <w:sz w:val="52"/>
        </w:rPr>
        <w:t>MateClaw 智能排障</w:t>
      </w:r>
    </w:p>
    <w:p>
      <w:pPr>
        <w:spacing w:after="200"/>
        <w:jc w:val="center"/>
      </w:pPr>
      <w:r>
        <w:rPr>
          <w:rFonts w:ascii="Arial Unicode MS" w:hAnsi="Arial Unicode MS" w:eastAsia="Arial Unicode MS" w:hint="eastAsia"/>
          <w:b w:val="0"/>
          <w:color w:val="DD704B"/>
          <w:sz w:val="30"/>
        </w:rPr>
        <w:t>让排障能力不再只掌握在少数熟手手里</w:t>
      </w:r>
    </w:p>
    <w:p>
      <w:pPr>
        <w:spacing w:after="480"/>
        <w:jc w:val="center"/>
      </w:pPr>
      <w:r>
        <w:rPr>
          <w:rFonts w:ascii="Arial Unicode MS" w:hAnsi="Arial Unicode MS" w:eastAsia="Arial Unicode MS" w:hint="eastAsia"/>
          <w:b/>
          <w:color w:val="6F665F"/>
          <w:sz w:val="21"/>
        </w:rPr>
        <w:t>作品方案｜场景描述 · AI 工具使用 · 效能提升 · Demo 与投产计划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2E74B5"/>
              </w:rPr>
              <w:t>作品类型</w:t>
            </w:r>
          </w:p>
          <w:p>
            <w:pPr>
              <w:spacing w:after="0"/>
            </w:pPr>
            <w:r>
              <w:t>IT 智能排障平台</w:t>
            </w:r>
          </w:p>
        </w:tc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2E74B5"/>
              </w:rPr>
              <w:t>核心方法</w:t>
            </w:r>
          </w:p>
          <w:p>
            <w:pPr>
              <w:spacing w:after="0"/>
            </w:pPr>
            <w:r>
              <w:t>三次取证 + 成功对照 + 确定性判断</w:t>
            </w:r>
          </w:p>
        </w:tc>
      </w:tr>
      <w:tr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E74B5"/>
              </w:rPr>
              <w:t>首个场景</w:t>
            </w:r>
          </w:p>
          <w:p>
            <w:pPr>
              <w:spacing w:after="0"/>
            </w:pPr>
            <w:r>
              <w:t>CSDP / csdp-wechat / 904003</w:t>
            </w:r>
          </w:p>
        </w:tc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E74B5"/>
              </w:rPr>
              <w:t>真实排障单</w:t>
            </w:r>
          </w:p>
          <w:p>
            <w:pPr>
              <w:spacing w:after="0"/>
            </w:pPr>
            <w:r>
              <w:t>diag-acee292e…ec2e</w:t>
            </w:r>
          </w:p>
        </w:tc>
      </w:tr>
      <w:tr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2E74B5"/>
              </w:rPr>
              <w:t>证据来源</w:t>
            </w:r>
          </w:p>
          <w:p>
            <w:pPr>
              <w:spacing w:after="0"/>
            </w:pPr>
            <w:r>
              <w:t>真实 Guance 只读数据</w:t>
            </w:r>
          </w:p>
        </w:tc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2E74B5"/>
              </w:rPr>
              <w:t>安全边界</w:t>
            </w:r>
          </w:p>
          <w:p>
            <w:pPr>
              <w:spacing w:after="0"/>
            </w:pPr>
            <w:r>
              <w:t>零生产写；错误码路径零模型调用</w:t>
            </w:r>
          </w:p>
        </w:tc>
      </w:tr>
      <w:tr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E74B5"/>
              </w:rPr>
              <w:t>当前阶段</w:t>
            </w:r>
          </w:p>
          <w:p>
            <w:pPr>
              <w:spacing w:after="0"/>
            </w:pPr>
            <w:r>
              <w:t>真实单场景竖线已贯通</w:t>
            </w:r>
          </w:p>
        </w:tc>
        <w:tc>
          <w:tcPr>
            <w:tcW w:type="dxa" w:w="468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E74B5"/>
              </w:rPr>
              <w:t>版本日期</w:t>
            </w:r>
          </w:p>
          <w:p>
            <w:pPr>
              <w:spacing w:after="0"/>
            </w:pPr>
            <w:r>
              <w:t>2026-08-11</w:t>
            </w:r>
          </w:p>
        </w:tc>
      </w:tr>
    </w:tbl>
    <w:p>
      <w:pPr>
        <w:spacing w:after="160"/>
      </w:pPr>
      <w:r>
        <w:rPr>
          <w:rFonts w:ascii="Arial Unicode MS" w:hAnsi="Arial Unicode MS" w:eastAsia="Arial Unicode MS" w:hint="eastAsia"/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F7265"/>
              </w:rPr>
              <w:t>作品主张</w:t>
            </w:r>
          </w:p>
          <w:p>
            <w:pPr>
              <w:spacing w:after="0"/>
            </w:pPr>
            <w:r>
              <w:t>MateClaw 让二线能够基于平台开展标准化排障，让三线开发快速进入陌生系统的有效调查，并在重大故障中帮助开发团队基于同一份证据快速收敛问题范围。</w:t>
            </w:r>
          </w:p>
        </w:tc>
      </w:tr>
    </w:tbl>
    <w:p>
      <w:pPr>
        <w:spacing w:after="40"/>
      </w:pPr>
    </w:p>
    <w:p>
      <w:pPr>
        <w:spacing w:after="0"/>
        <w:jc w:val="center"/>
      </w:pPr>
      <w:r>
        <w:rPr>
          <w:rFonts w:ascii="Arial Unicode MS" w:hAnsi="Arial Unicode MS" w:eastAsia="Arial Unicode MS" w:hint="eastAsia"/>
          <w:b w:val="0"/>
          <w:color w:val="6F665F"/>
          <w:sz w:val="19"/>
        </w:rPr>
        <w:t>本材料只陈述已经由当前代码、真实排障单和验证记录支持的能力；未完成项在第七章单列。</w:t>
      </w:r>
    </w:p>
    <w:p>
      <w:r>
        <w:br w:type="page"/>
      </w:r>
    </w:p>
    <w:p>
      <w:pPr>
        <w:pStyle w:val="Heading1"/>
      </w:pPr>
      <w:r>
        <w:t>作品摘要</w:t>
      </w:r>
    </w:p>
    <w:p>
      <w:pPr>
        <w:spacing w:after="160"/>
      </w:pPr>
      <w:r>
        <w:rPr>
          <w:rFonts w:ascii="Arial Unicode MS" w:hAnsi="Arial Unicode MS" w:eastAsia="Arial Unicode MS" w:hint="eastAsia"/>
          <w:b w:val="0"/>
        </w:rPr>
        <w:t>MateClaw 智能排障首先解决三个真实问题：二线看到告警却不知道下一步怎么查；三线开发接手陌生系统时过度依赖少数熟手；重大故障中多人重复查询、判断口径不一，问题范围迟迟无法收敛。平台把已经验证的调查方法、真实证据和人工责任边界放进同一张排障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EE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DD704B"/>
              </w:rPr>
              <w:t>已验证的真实结果</w:t>
            </w:r>
          </w:p>
          <w:p>
            <w:pPr>
              <w:spacing w:after="0"/>
            </w:pPr>
            <w:r>
              <w:t>CSDP 的 csdp-wechat 服务在 ITGW 904003 故障窗口中，2 个失败请求均出现“内容拦截”，36 个正常请求均未出现；本次系统调查阶段记录约 4 秒。</w:t>
            </w:r>
          </w:p>
        </w:tc>
      </w:tr>
    </w:tbl>
    <w:p>
      <w:pPr>
        <w:spacing w:after="40"/>
      </w:pPr>
    </w:p>
    <w:p>
      <w:pPr>
        <w:pStyle w:val="Heading2"/>
      </w:pPr>
      <w:r>
        <w:t>核心能力一览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36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当前实现</w:t>
            </w:r>
          </w:p>
        </w:tc>
        <w:tc>
          <w:tcPr>
            <w:tcW w:type="dxa" w:w="374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用户价值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告警结构化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保存系统、服务、时间、错误码和影响线索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减少补问和范围误判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三次只读取证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失败检索 → 关联日志 → 正常请求对照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自动串联调查上下文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确定性判断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按冻结规则版本复算条件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结论可解释、可重放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双视图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业务结果 + 开发证据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同一事实服务不同角色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知识闭环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结案生成候选，回放和审核后启用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把个人经验变成组织资产</w:t>
            </w:r>
          </w:p>
        </w:tc>
      </w:tr>
    </w:tbl>
    <w:p>
      <w:pPr>
        <w:spacing w:after="40"/>
      </w:pPr>
    </w:p>
    <w:p>
      <w:pPr>
        <w:pStyle w:val="Heading2"/>
      </w:pPr>
      <w:r>
        <w:t>当前边界</w:t>
      </w:r>
    </w:p>
    <w:p>
      <w:pPr>
        <w:pStyle w:val="ListBullet"/>
      </w:pPr>
      <w:r>
        <w:t>已经证明一条真实 Guance 错误码场景可以端到端运行。</w:t>
      </w:r>
    </w:p>
    <w:p>
      <w:pPr>
        <w:pStyle w:val="ListBullet"/>
      </w:pPr>
      <w:r>
        <w:t>尚未证明全部系统已经接入，也未达到正式 20–30 条历史样本批次验收。</w:t>
      </w:r>
    </w:p>
    <w:p>
      <w:pPr>
        <w:pStyle w:val="ListBullet"/>
      </w:pPr>
      <w:r>
        <w:t>平台不执行生产变更；确认结论只推进排障单状态。</w:t>
      </w:r>
    </w:p>
    <w:p>
      <w:pPr>
        <w:pStyle w:val="Heading1"/>
      </w:pPr>
      <w:r>
        <w:t>一、场景描述</w:t>
      </w:r>
    </w:p>
    <w:p>
      <w:pPr>
        <w:pStyle w:val="Heading2"/>
      </w:pPr>
      <w:r>
        <w:t>1.1 项目要解决的三个真实问题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使用者 / 场景</w:t>
            </w:r>
          </w:p>
        </w:tc>
        <w:tc>
          <w:tcPr>
            <w:tcW w:type="dxa" w:w="374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现在遇到的问题</w:t>
            </w:r>
          </w:p>
        </w:tc>
        <w:tc>
          <w:tcPr>
            <w:tcW w:type="dxa" w:w="381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平台首先要交付的结果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二线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看到告警现象，但不知道该查什么、如何判断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按已审核方法启动并推进只读调查；证据不足时说清缺什么、为什么升级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三线开发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接手陌生系统时不熟悉字段、关联 ID 和历史经验，排障依赖少数熟手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先获得清晰调查路径、证据和结论，降低对系统熟悉度与个人经验的依赖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重大故障团队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多人重复查询、信息口径不一，异常与故障的关系难以确认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统一证据、判断口径和责任边界，快速收敛问题范围并减少无效沟通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E74B5"/>
              </w:rPr>
              <w:t>不是降低开发要求</w:t>
            </w:r>
          </w:p>
          <w:p>
            <w:pPr>
              <w:spacing w:after="0"/>
            </w:pPr>
            <w:r>
              <w:t>平台降低的是排障对系统熟悉度、少数专家和个人记忆的依赖；真实字段核对、最终因果确认和生产处置仍由授权人员负责。</w:t>
            </w:r>
          </w:p>
        </w:tc>
      </w:tr>
    </w:tbl>
    <w:p>
      <w:pPr>
        <w:spacing w:after="40"/>
      </w:pPr>
    </w:p>
    <w:p>
      <w:pPr>
        <w:pStyle w:val="Heading2"/>
      </w:pPr>
      <w:r>
        <w:t>1.2 三个问题与三种处理方式不能混为一谈</w:t>
      </w:r>
    </w:p>
    <w:p>
      <w:pPr>
        <w:spacing w:after="160"/>
      </w:pPr>
      <w:r>
        <w:rPr>
          <w:rFonts w:ascii="Arial Unicode MS" w:hAnsi="Arial Unicode MS" w:eastAsia="Arial Unicode MS" w:hint="eastAsia"/>
          <w:b w:val="0"/>
        </w:rPr>
        <w:t>三个问题说的是作品要交付的业务结果；三种处理方式说的是平台面对不同成熟度场景时的工作方式。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场景成熟度</w:t>
            </w:r>
          </w:p>
        </w:tc>
        <w:tc>
          <w:tcPr>
            <w:tcW w:type="dxa" w:w="46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平台怎么做</w:t>
            </w:r>
          </w:p>
        </w:tc>
        <w:tc>
          <w:tcPr>
            <w:tcW w:type="dxa" w:w="259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当前状态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已有审核方法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直接执行冻结查询和确定性条件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ITGW 904003 真实案例已跑通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新问题已由人解决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结案后形成候选方法，经回放和人工审核后再复用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候选、回放和审核机制已实现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完全没有方法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只允许受限、只读的探索，无证据即停止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通用自主规划尚未通过投产验证</w:t>
            </w:r>
          </w:p>
        </w:tc>
      </w:tr>
    </w:tbl>
    <w:p>
      <w:pPr>
        <w:spacing w:after="40"/>
      </w:pPr>
    </w:p>
    <w:p>
      <w:pPr>
        <w:pStyle w:val="Heading2"/>
      </w:pPr>
      <w:r>
        <w:t>1.3 排障过程中的共性断点</w:t>
      </w:r>
    </w:p>
    <w:p>
      <w:pPr>
        <w:pStyle w:val="ListNumber"/>
      </w:pPr>
      <w:r>
        <w:t>入口信息不完整：告警有系统、服务和现象，但缺少稳定调查路径。</w:t>
      </w:r>
    </w:p>
    <w:p>
      <w:pPr>
        <w:pStyle w:val="ListNumber"/>
      </w:pPr>
      <w:r>
        <w:t>证据分散：失败日志、同一请求的关联日志以及正常请求分布在不同查询中。</w:t>
      </w:r>
    </w:p>
    <w:p>
      <w:pPr>
        <w:pStyle w:val="ListNumber"/>
      </w:pPr>
      <w:r>
        <w:t>判断不可复核：看见某条异常日志，并不能证明它只集中在失败请求中。</w:t>
      </w:r>
    </w:p>
    <w:p>
      <w:pPr>
        <w:pStyle w:val="ListNumber"/>
      </w:pPr>
      <w:r>
        <w:t>经验难沉淀：查询条件、判断标准和停止原因没有变成可复用资产。</w:t>
      </w:r>
    </w:p>
    <w:p>
      <w:pPr>
        <w:pStyle w:val="Heading2"/>
      </w:pPr>
      <w:r>
        <w:t>1.4 真实案例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7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事件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客服数字化（WECHAT）— ITGW访问失败【904003】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时间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2026-08-07 17:12（Asia/Shanghai）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系统 / 服务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CSDP / csdp-wechat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集群线索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sz3-s-k8s；仅作为资产元数据，不猜测观测云字段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真实排障单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diag-acee292ecd7647288e2c39e80007ec2e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结果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9"/>
              </w:rPr>
              <w:t>已定位、待人工确认；fixtureMode=false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 Unicode MS" w:hAnsi="Arial Unicode MS" w:eastAsia="Arial Unicode MS" w:hint="eastAsia"/>
          <w:b w:val="0"/>
        </w:rPr>
        <w:t>系统先查失败请求并取得真实关联 ID，再读取同一 ID 下的关联日志，最后在同一时间窗口选择正常请求做对照。两条确定性判断条件成立后，规则把异常环节定位到 ITGW 内容安全策略拦截。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E74B5"/>
              </w:rPr>
              <w:t>为什么仍然“待确认”</w:t>
            </w:r>
          </w:p>
          <w:p>
            <w:pPr>
              <w:spacing w:after="0"/>
            </w:pPr>
            <w:r>
              <w:t>证据支持异常特征与故障有关，但生产处置与最终因果确认仍由授权负责人完成；平台不会把相关性包装成自动修复。</w:t>
            </w:r>
          </w:p>
        </w:tc>
      </w:tr>
    </w:tbl>
    <w:p>
      <w:pPr>
        <w:spacing w:after="40"/>
      </w:pPr>
    </w:p>
    <w:p>
      <w:pPr>
        <w:pStyle w:val="Heading2"/>
      </w:pPr>
      <w:r>
        <w:t>1.5 谁负责接入，开发怎么开始</w:t>
      </w:r>
    </w:p>
    <w:p>
      <w:pPr>
        <w:spacing w:after="160"/>
      </w:pPr>
      <w:r>
        <w:rPr>
          <w:rFonts w:ascii="Arial Unicode MS" w:hAnsi="Arial Unicode MS" w:eastAsia="Arial Unicode MS" w:hint="eastAsia"/>
          <w:b w:val="0"/>
        </w:rPr>
        <w:t>接入分成一次性准备与日常排障两条路径。平台管理员统一配置数据源，系统负责人维护本系统观测资产与查询规则；开发和值班人员日常只需要从告警创建排障单，不必自己编写 DQL。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角色</w:t>
            </w:r>
          </w:p>
        </w:tc>
        <w:tc>
          <w:tcPr>
            <w:tcW w:type="dxa" w:w="28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操作入口</w:t>
            </w:r>
          </w:p>
        </w:tc>
        <w:tc>
          <w:tcPr>
            <w:tcW w:type="dxa" w:w="482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主要职责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平台管理员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取证接入 → 数据源联调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配置并验证 Guance 连接、认证、超时和只读边界；同一数据源统一配置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系统负责人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系统与模块、查询规则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登记系统、服务和环境，维护失败、关联日志与正常对照规则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审核负责人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排障规则库、路由与绑定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完成只读试跑、回放、规则审核和版本启用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开发 / 值班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智能排障 → 排障工作台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从告警创建排障单，查看证据，确认、驳回或转人工</w:t>
            </w:r>
          </w:p>
        </w:tc>
      </w:tr>
    </w:tbl>
    <w:p>
      <w:pPr>
        <w:spacing w:after="40"/>
      </w:pPr>
    </w:p>
    <w:p>
      <w:pPr>
        <w:pStyle w:val="Heading3"/>
      </w:pPr>
      <w:r>
        <w:t>开发的五步使用路径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hint="eastAsia"/>
          <w:b w:val="0"/>
        </w:rPr>
        <w:t>1. 收到告警后进入排障工作台，点击创建排障单。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hint="eastAsia"/>
          <w:b w:val="0"/>
        </w:rPr>
        <w:t>2. 填写系统、服务、精确告警时间、错误码和故障现象。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hint="eastAsia"/>
          <w:b w:val="0"/>
        </w:rPr>
        <w:t>3. 系统自动选择已审核方法并执行只读取证，开发不需要编写 DQL。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hint="eastAsia"/>
          <w:b w:val="0"/>
        </w:rPr>
        <w:t>4. 详情页先看结论，需要复核时再看关键节点、完整过程和证据关系。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hint="eastAsia"/>
          <w:b w:val="0"/>
        </w:rPr>
        <w:t>5. 负责人确认或驳回，在平台外完成生产处置并登记结果。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E74B5"/>
              </w:rPr>
              <w:t>无法自动调查时怎么办</w:t>
            </w:r>
          </w:p>
          <w:p>
            <w:pPr>
              <w:spacing w:after="0"/>
            </w:pPr>
            <w:r>
              <w:t>系统未接入、规则未审核或真实证据不可用时，平台会明确显示配置缺口或“证据不足”，并转回人工排障；不会用 Demo、历史猜测或模型回答替代真实证据。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二、方案设计</w:t>
      </w:r>
    </w:p>
    <w:p>
      <w:pPr>
        <w:pStyle w:val="Heading2"/>
      </w:pPr>
      <w:r>
        <w:t>2.1 七阶段主流程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阶段</w:t>
            </w:r>
          </w:p>
        </w:tc>
        <w:tc>
          <w:tcPr>
            <w:tcW w:type="dxa" w:w="432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系统要回答的问题</w:t>
            </w:r>
          </w:p>
        </w:tc>
        <w:tc>
          <w:tcPr>
            <w:tcW w:type="dxa" w:w="338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本案例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1. 收到告警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哪个系统、哪个服务、何时、什么错误？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CSDP / csdp-wechat / 904003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2. 选择方法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是否有审核通过的调查方法？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冻结 904003 排障方法 v2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3. 明确证据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需要哪些事实才能判断？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失败、关联日志、正常对照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4. 连接数据源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由哪个只读适配器执行？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Guance 三份绑定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5. 获取证据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真实查询返回了什么？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3 份规范化证据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6. 计算条件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证据是否满足审核条件？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2 条条件成立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7. 形成结论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定位、弃权还是转人工？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已定位，待人工确认</w:t>
            </w:r>
          </w:p>
        </w:tc>
      </w:tr>
    </w:tbl>
    <w:p>
      <w:pPr>
        <w:spacing w:after="40"/>
      </w:pPr>
    </w:p>
    <w:p>
      <w:pPr>
        <w:pStyle w:val="Heading2"/>
      </w:pPr>
      <w:r>
        <w:t>2.2 三次只读取证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79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次序</w:t>
            </w:r>
          </w:p>
        </w:tc>
        <w:tc>
          <w:tcPr>
            <w:tcW w:type="dxa" w:w="230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查询目的</w:t>
            </w:r>
          </w:p>
        </w:tc>
        <w:tc>
          <w:tcPr>
            <w:tcW w:type="dxa" w:w="309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运行时输入</w:t>
            </w:r>
          </w:p>
        </w:tc>
        <w:tc>
          <w:tcPr>
            <w:tcW w:type="dxa" w:w="316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安全输出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找失败请求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服务、错误码、绝对时间窗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失败数量、受限关联 ID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查关联日志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第一步返回的真实关联 ID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时间、服务、级别、白名单标记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3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找正常请求作对照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同一服务、同一窗口、审核特征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两组请求数和特征出现数</w:t>
            </w:r>
          </w:p>
        </w:tc>
      </w:tr>
    </w:tbl>
    <w:p>
      <w:pPr>
        <w:spacing w:after="40"/>
      </w:pPr>
    </w:p>
    <w:p>
      <w:pPr>
        <w:pStyle w:val="Heading2"/>
      </w:pPr>
      <w:r>
        <w:t>2.3 安全和治理</w:t>
      </w:r>
    </w:p>
    <w:p>
      <w:pPr>
        <w:pStyle w:val="ListBullet"/>
      </w:pPr>
      <w:r>
        <w:t>错误码已命中时全程零模型调用，结论来自冻结规则和规范化证据。</w:t>
      </w:r>
    </w:p>
    <w:p>
      <w:pPr>
        <w:pStyle w:val="ListBullet"/>
      </w:pPr>
      <w:r>
        <w:t>不返回或持久化 API Key、DQL、原始日志正文和业务内容。</w:t>
      </w:r>
    </w:p>
    <w:p>
      <w:pPr>
        <w:pStyle w:val="ListBullet"/>
      </w:pPr>
      <w:r>
        <w:t>缺少规则、数据连接或证据时按 fail-closed 输出“证据不足”。</w:t>
      </w:r>
    </w:p>
    <w:p>
      <w:pPr>
        <w:pStyle w:val="ListBullet"/>
      </w:pPr>
      <w:r>
        <w:t>只提供只读证据能力，不注册生产写执行器。</w:t>
      </w:r>
    </w:p>
    <w:p>
      <w:pPr>
        <w:pStyle w:val="Heading1"/>
      </w:pPr>
      <w:r>
        <w:t>三、AI 工具使用说明</w:t>
      </w:r>
    </w:p>
    <w:p>
      <w:pPr>
        <w:pStyle w:val="Heading2"/>
      </w:pPr>
      <w:r>
        <w:t>3.1 产品运行时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使用位置</w:t>
            </w:r>
          </w:p>
        </w:tc>
        <w:tc>
          <w:tcPr>
            <w:tcW w:type="dxa" w:w="3888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AI 的职责</w:t>
            </w:r>
          </w:p>
        </w:tc>
        <w:tc>
          <w:tcPr>
            <w:tcW w:type="dxa" w:w="3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权威边界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错误码已命中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不调用模型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审核规则 + 真实证据 + 确定性计算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未知场景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受限提出只读调查建议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硬白名单；不可用时直接停止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历史案例归纳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生成排障方法草稿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回放、确定性校验和人工审核后才启用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证据解释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把技术字段与计数翻译成人话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不改写底层事实与判断结果</w:t>
            </w:r>
          </w:p>
        </w:tc>
      </w:tr>
    </w:tbl>
    <w:p>
      <w:pPr>
        <w:spacing w:after="40"/>
      </w:pPr>
    </w:p>
    <w:p>
      <w:pPr>
        <w:pStyle w:val="Heading2"/>
      </w:pPr>
      <w:r>
        <w:t>3.2 研发阶段</w:t>
      </w:r>
    </w:p>
    <w:p>
      <w:pPr>
        <w:pStyle w:val="ListBullet"/>
      </w:pPr>
      <w:r>
        <w:t>Codex：代码库理解、跨前后端实现、测试补齐、浏览器验收和交付材料生成。</w:t>
      </w:r>
    </w:p>
    <w:p>
      <w:pPr>
        <w:pStyle w:val="ListBullet"/>
      </w:pPr>
      <w:r>
        <w:t>Claude：早期架构讨论、方案反证和交互方案迭代。</w:t>
      </w:r>
    </w:p>
    <w:p>
      <w:pPr>
        <w:pStyle w:val="ListBullet"/>
      </w:pPr>
      <w:r>
        <w:t>人工：确认真实字段、判断阈值、审核启用和生产处置。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F7265"/>
              </w:rPr>
              <w:t>验证原则</w:t>
            </w:r>
          </w:p>
          <w:p>
            <w:pPr>
              <w:spacing w:after="0"/>
            </w:pPr>
            <w:r>
              <w:t>AI 生成的代码和方案必须通过单元测试、固定回放、真实只读调用与人工复核；不能以“模型说可以”作为完成标准。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四、效能提升说明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367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传统方式</w:t>
            </w:r>
          </w:p>
        </w:tc>
        <w:tc>
          <w:tcPr>
            <w:tcW w:type="dxa" w:w="4032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MateClaw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查询路径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依赖个人经验，容易查错窗口或字段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审核方法固定顺序和绝对时间窗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关联信息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手工复制 ID，多页面切换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第一步结果自动成为后续唯一输入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异常判断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看到错误日志后凭经验推断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失败与正常请求同窗对照后计算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过程复核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聊天、截图和链接分散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关键节点、七阶段和证据关系集中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经验沉淀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依赖口口相传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8"/>
              </w:rPr>
              <w:t>结案形成候选，回放审核后复用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 Unicode MS" w:hAnsi="Arial Unicode MS" w:eastAsia="Arial Unicode MS" w:hint="eastAsia"/>
          <w:b w:val="0"/>
        </w:rPr>
        <w:t>当前真实记录：三次 Guance-only 查询取得规范化证据；系统调查阶段约 4 秒；2 个失败请求均出现异常特征，36 个正常请求均未出现；2 条确定性判断条件成立。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EE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DD704B"/>
              </w:rPr>
              <w:t>4 秒证明了什么</w:t>
            </w:r>
          </w:p>
          <w:p>
            <w:pPr>
              <w:spacing w:after="0"/>
            </w:pPr>
            <w:r>
              <w:t>它只证明这条已审核方法能在真实 Guance 数据上完成一次系统调查，不等于已证明二线独立排障、三线快速上手和重大故障收敛效率。</w:t>
            </w:r>
          </w:p>
        </w:tc>
      </w:tr>
    </w:tbl>
    <w:p>
      <w:pPr>
        <w:spacing w:after="40"/>
      </w:pPr>
    </w:p>
    <w:p>
      <w:pPr>
        <w:pStyle w:val="Heading2"/>
      </w:pPr>
      <w:r>
        <w:t>三个问题的效果验收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要验证的问题</w:t>
            </w:r>
          </w:p>
        </w:tc>
        <w:tc>
          <w:tcPr>
            <w:tcW w:type="dxa" w:w="39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真实试用方式</w:t>
            </w:r>
          </w:p>
        </w:tc>
        <w:tc>
          <w:tcPr>
            <w:tcW w:type="dxa" w:w="309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主要指标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二线能基于平台排障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让二线人员不由三线代操，独立处理已审核场景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独立完成率、升级比例、首个可读结论耗时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三线开发能快速上手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让不熟悉该系统的开发完成同一批排障任务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首次排障耗时、求助次数、证据完整度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重大故障能更快收敛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在真实演练或历史复盘中让多角色共用同一证据链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sz w:val="17"/>
              </w:rPr>
              <w:t>范围收敛耗时、重复查询数、无效转交数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 Unicode MS" w:hAnsi="Arial Unicode MS" w:eastAsia="Arial Unicode MS" w:hint="eastAsia"/>
          <w:b w:val="0"/>
          <w:color w:val="6F665F"/>
          <w:sz w:val="19"/>
        </w:rPr>
        <w:t>以上人员效果指标尚待真实试用。此外，仍需在 20–30 条历史样本上统计补问、系统调查和人工采纳三个阶段的 p50/p95。</w:t>
      </w:r>
    </w:p>
    <w:p>
      <w:r>
        <w:br w:type="page"/>
      </w:r>
    </w:p>
    <w:p>
      <w:pPr>
        <w:pStyle w:val="Heading1"/>
      </w:pPr>
      <w:r>
        <w:t>五、Demo 与效果示意</w:t>
      </w:r>
    </w:p>
    <w:p>
      <w:pPr>
        <w:pStyle w:val="Heading2"/>
      </w:pPr>
      <w:r>
        <w:t>5.1 结果总览</w:t>
      </w:r>
    </w:p>
    <w:p>
      <w:pPr>
        <w:spacing w:after="160"/>
      </w:pPr>
      <w:r>
        <w:rPr>
          <w:rFonts w:ascii="Arial Unicode MS" w:hAnsi="Arial Unicode MS" w:eastAsia="Arial Unicode MS" w:hint="eastAsia"/>
          <w:b w:val="0"/>
        </w:rPr>
        <w:t>结果页先回答“发生了什么、当前结论是什么、谁来处置”，并把补问、系统调查和人工采纳三个耗时阶段分开记录。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99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排障结果总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F665F"/>
          <w:sz w:val="18"/>
        </w:rPr>
        <w:t>图 1　真实排障结果总览：已定位、待确认，平台不执行生产变更</w:t>
      </w:r>
    </w:p>
    <w:p>
      <w:pPr>
        <w:pStyle w:val="Heading2"/>
      </w:pPr>
      <w:r>
        <w:t>5.2 四个关键节点</w:t>
      </w:r>
    </w:p>
    <w:p>
      <w:pPr>
        <w:spacing w:after="160"/>
      </w:pPr>
      <w:r>
        <w:rPr>
          <w:rFonts w:ascii="Arial Unicode MS" w:hAnsi="Arial Unicode MS" w:eastAsia="Arial Unicode MS" w:hint="eastAsia"/>
          <w:b w:val="0"/>
        </w:rPr>
        <w:t>默认使用“发生了什么、按什么方法查、查到了什么、最后结论”四个大白话节点；开发需要复核时，再切换到完整七步或证据关系。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91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四个关键节点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91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F665F"/>
          <w:sz w:val="18"/>
        </w:rPr>
        <w:t>图 2　四个关键节点：左侧选阶段，右侧查看本次结果和为什么重要</w:t>
      </w:r>
    </w:p>
    <w:p>
      <w:pPr>
        <w:pStyle w:val="Heading2"/>
      </w:pPr>
      <w:r>
        <w:t>5.3 证据对照</w:t>
      </w:r>
    </w:p>
    <w:p>
      <w:pPr>
        <w:spacing w:after="160"/>
      </w:pPr>
      <w:r>
        <w:rPr>
          <w:rFonts w:ascii="Arial Unicode MS" w:hAnsi="Arial Unicode MS" w:eastAsia="Arial Unicode MS" w:hint="eastAsia"/>
          <w:b w:val="0"/>
        </w:rPr>
        <w:t>页面不展示容易混淆的 2/2、0/36 缩写，而是直接说明两组请求分别发生了什么；PS ID 区域明确标注为关联日志，不冒充完整跨服务 Trace。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070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证据对照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07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F665F"/>
          <w:sz w:val="18"/>
        </w:rPr>
        <w:t>图 3　失败请求与正常请求对照：异常特征只集中在失败请求中</w:t>
      </w:r>
    </w:p>
    <w:p>
      <w:pPr>
        <w:pStyle w:val="Heading1"/>
      </w:pPr>
      <w:r>
        <w:t>六、创新点</w:t>
      </w:r>
    </w:p>
    <w:p>
      <w:pPr>
        <w:pStyle w:val="Heading3"/>
      </w:pPr>
      <w:r>
        <w:t>成功样本对照</w:t>
      </w:r>
    </w:p>
    <w:p>
      <w:pPr>
        <w:spacing w:after="100"/>
      </w:pPr>
      <w:r>
        <w:rPr>
          <w:rFonts w:ascii="Arial Unicode MS" w:hAnsi="Arial Unicode MS" w:eastAsia="Arial Unicode MS" w:hint="eastAsia"/>
          <w:b w:val="0"/>
        </w:rPr>
        <w:t>不仅找到失败日志，还验证异常特征是否集中在失败请求中。</w:t>
      </w:r>
    </w:p>
    <w:p>
      <w:pPr>
        <w:pStyle w:val="Heading3"/>
      </w:pPr>
      <w:r>
        <w:t>证据优先于模型</w:t>
      </w:r>
    </w:p>
    <w:p>
      <w:pPr>
        <w:spacing w:after="100"/>
      </w:pPr>
      <w:r>
        <w:rPr>
          <w:rFonts w:ascii="Arial Unicode MS" w:hAnsi="Arial Unicode MS" w:eastAsia="Arial Unicode MS" w:hint="eastAsia"/>
          <w:b w:val="0"/>
        </w:rPr>
        <w:t>真实查询、规范化证据和确定性规则构成权威链，AI 只做建议和解释。</w:t>
      </w:r>
    </w:p>
    <w:p>
      <w:pPr>
        <w:pStyle w:val="Heading3"/>
      </w:pPr>
      <w:r>
        <w:t>同一证据双投影</w:t>
      </w:r>
    </w:p>
    <w:p>
      <w:pPr>
        <w:spacing w:after="100"/>
      </w:pPr>
      <w:r>
        <w:rPr>
          <w:rFonts w:ascii="Arial Unicode MS" w:hAnsi="Arial Unicode MS" w:eastAsia="Arial Unicode MS" w:hint="eastAsia"/>
          <w:b w:val="0"/>
        </w:rPr>
        <w:t>业务负责人看结论和责任边界，开发看查询、判断条件和证据引用。</w:t>
      </w:r>
    </w:p>
    <w:p>
      <w:pPr>
        <w:pStyle w:val="Heading3"/>
      </w:pPr>
      <w:r>
        <w:t>可弃权设计</w:t>
      </w:r>
    </w:p>
    <w:p>
      <w:pPr>
        <w:spacing w:after="100"/>
      </w:pPr>
      <w:r>
        <w:rPr>
          <w:rFonts w:ascii="Arial Unicode MS" w:hAnsi="Arial Unicode MS" w:eastAsia="Arial Unicode MS" w:hint="eastAsia"/>
          <w:b w:val="0"/>
        </w:rPr>
        <w:t>没有证据就停止，比生成一个听起来合理的答案更安全。</w:t>
      </w:r>
    </w:p>
    <w:p>
      <w:pPr>
        <w:pStyle w:val="Heading3"/>
      </w:pPr>
      <w:r>
        <w:t>经验生产闭环</w:t>
      </w:r>
    </w:p>
    <w:p>
      <w:pPr>
        <w:spacing w:after="100"/>
      </w:pPr>
      <w:r>
        <w:rPr>
          <w:rFonts w:ascii="Arial Unicode MS" w:hAnsi="Arial Unicode MS" w:eastAsia="Arial Unicode MS" w:hint="eastAsia"/>
          <w:b w:val="0"/>
        </w:rPr>
        <w:t>真实结案生成候选规则，但必须经回放和人工审核后才能影响下一次排障。</w:t>
      </w:r>
    </w:p>
    <w:p>
      <w:pPr>
        <w:pStyle w:val="Heading1"/>
      </w:pPr>
      <w:r>
        <w:t>七、完成度与投产计划</w:t>
      </w:r>
    </w:p>
    <w:p>
      <w:pPr>
        <w:pStyle w:val="Heading2"/>
      </w:pPr>
      <w:r>
        <w:t>7.1 已完成</w:t>
      </w:r>
    </w:p>
    <w:p>
      <w:pPr>
        <w:pStyle w:val="ListBullet"/>
      </w:pPr>
      <w:r>
        <w:t>MateClaw 内部确定性排障领域模块、正式工作台和排障单生命周期。</w:t>
      </w:r>
    </w:p>
    <w:p>
      <w:pPr>
        <w:pStyle w:val="ListBullet"/>
      </w:pPr>
      <w:r>
        <w:t>Guance 只读适配器、三次取证、脱敏压缩和失败/正常请求对照。</w:t>
      </w:r>
    </w:p>
    <w:p>
      <w:pPr>
        <w:pStyle w:val="ListBullet"/>
      </w:pPr>
      <w:r>
        <w:t>CSDP / csdp-wechat / 904003 真实案例端到端跑通。</w:t>
      </w:r>
    </w:p>
    <w:p>
      <w:pPr>
        <w:pStyle w:val="ListBullet"/>
      </w:pPr>
      <w:r>
        <w:t>查询目录、系统接入、排障方法审核、历史回放和案例沉淀入口。</w:t>
      </w:r>
    </w:p>
    <w:p>
      <w:pPr>
        <w:pStyle w:val="Heading2"/>
      </w:pPr>
      <w:r>
        <w:t>7.2 投产前必须完成</w:t>
      </w:r>
    </w:p>
    <w:p>
      <w:pPr>
        <w:spacing w:after="100"/>
        <w:ind w:left="360" w:hanging="360"/>
      </w:pPr>
      <w:r>
        <w:rPr>
          <w:rFonts w:ascii="Arial Unicode MS" w:hAnsi="Arial Unicode MS" w:eastAsia="Arial Unicode MS" w:hint="eastAsia"/>
          <w:b w:val="0"/>
        </w:rPr>
        <w:t>1. 由各系统 owner 核对 measurement、字段、时间单位、索引和查询窗口。</w:t>
      </w:r>
    </w:p>
    <w:p>
      <w:pPr>
        <w:spacing w:after="100"/>
        <w:ind w:left="360" w:hanging="360"/>
      </w:pPr>
      <w:r>
        <w:rPr>
          <w:rFonts w:ascii="Arial Unicode MS" w:hAnsi="Arial Unicode MS" w:eastAsia="Arial Unicode MS" w:hint="eastAsia"/>
          <w:b w:val="0"/>
        </w:rPr>
        <w:t>2. 补齐查询规则，冻结至少 20 个真实可执行目标；当前正式目标目录仍为 0/20。</w:t>
      </w:r>
    </w:p>
    <w:p>
      <w:pPr>
        <w:spacing w:after="100"/>
        <w:ind w:left="360" w:hanging="360"/>
      </w:pPr>
      <w:r>
        <w:rPr>
          <w:rFonts w:ascii="Arial Unicode MS" w:hAnsi="Arial Unicode MS" w:eastAsia="Arial Unicode MS" w:hint="eastAsia"/>
          <w:b w:val="0"/>
        </w:rPr>
        <w:t>3. 对当前配置指纹完成 owner acceptance，再运行 20–30 条历史影子样本。</w:t>
      </w:r>
    </w:p>
    <w:p>
      <w:pPr>
        <w:spacing w:after="100"/>
        <w:ind w:left="360" w:hanging="360"/>
      </w:pPr>
      <w:r>
        <w:rPr>
          <w:rFonts w:ascii="Arial Unicode MS" w:hAnsi="Arial Unicode MS" w:eastAsia="Arial Unicode MS" w:hint="eastAsia"/>
          <w:b w:val="0"/>
        </w:rPr>
        <w:t>4. 统计三段北极星耗时和误判/弃权情况，形成 p50/p95 与准入阈值。</w:t>
      </w:r>
    </w:p>
    <w:p>
      <w:pPr>
        <w:spacing w:after="100"/>
        <w:ind w:left="360" w:hanging="360"/>
      </w:pPr>
      <w:r>
        <w:rPr>
          <w:rFonts w:ascii="Arial Unicode MS" w:hAnsi="Arial Unicode MS" w:eastAsia="Arial Unicode MS" w:hint="eastAsia"/>
          <w:b w:val="0"/>
        </w:rPr>
        <w:t>5. 完成 RBAC、审计、告警通道、回滚演练和生产运行手册。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F7265"/>
              </w:rPr>
              <w:t>作品价值</w:t>
            </w:r>
          </w:p>
          <w:p>
            <w:pPr>
              <w:spacing w:after="0"/>
            </w:pPr>
            <w:r>
              <w:t>MateClaw 让二线能基于平台启动和推进标准化排障，让三线开发降低进入陌生系统调查的前置门槛，让重大故障团队围绕同一份证据快速收敛范围；并让一次真实排障变成下一次可审核、可重复执行的组织能力。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Arial Unicode MS" w:hAnsi="Arial Unicode MS" w:eastAsia="Arial Unicode MS" w:hint="eastAsia"/>
          <w:b w:val="0"/>
          <w:color w:val="6F665F"/>
          <w:sz w:val="17"/>
        </w:rPr>
        <w:t>Demo 入口（需本地服务和登录态）：http://127.0.0.1:5173/troubleshooting?view=detail&amp;diagnosisId=diag-acee292ecd7647288e2c39e80007ec2e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/>
        <w:color w:val="6F665F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/>
        <w:color w:val="6F665F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Arial Unicode MS" w:hAnsi="Arial Unicode MS"/>
              <w:color w:val="6F665F"/>
              <w:sz w:val="16"/>
            </w:rPr>
            <w:t>MateClaw 智能排障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Arial Unicode MS" w:hAnsi="Arial Unicode MS"/>
              <w:color w:val="6F665F"/>
              <w:sz w:val="16"/>
            </w:rPr>
            <w:t>作品方案 · 2026-08-11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Arial Unicode MS" w:hAnsi="Arial Unicode MS" w:eastAsia="Arial Unicode MS" w:hint="eastAsia"/>
      <w:color w:val="221E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hint="eastAsi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hint="eastAsi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hint="eastAsi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Arial Unicode MS" w:hAnsi="Arial Unicode MS" w:eastAsia="Arial Unicode MS" w:hint="eastAs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Arial Unicode MS" w:hAnsi="Arial Unicode MS" w:eastAsia="Arial Unicode MS" w:hint="eastAsi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MateClaw 智能排障作品方案</dc:title>
  <dc:subject>场景描述、AI 工具使用、效能提升、Demo 与投产计划</dc:subject>
  <dc:creator>MateClaw 项目组</dc:creator>
  <cp:keywords>MateClaw, 智能排障, Guance, 只读取证, 确定性判断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