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color w:val="6F6A5F"/>
          <w:spacing w:val="40"/>
          <w:sz w:val="14"/>
          <w:szCs w:val="14"/>
        </w:rPr>
        <w:t xml:space="preserve">BOLETIN SEMANAL · MONITOREO DE NOTICIAS</w:t>
      </w:r>
    </w:p>
    <w:p>
      <w:r>
        <w:rPr>
          <w:rFonts w:ascii="Calibri" w:cs="Calibri" w:eastAsia="Calibri" w:hAnsi="Calibri"/>
          <w:b/>
          <w:bCs/>
          <w:color w:val="22303D"/>
          <w:sz w:val="56"/>
          <w:szCs w:val="56"/>
        </w:rPr>
        <w:t xml:space="preserve">Avance Institucional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C5278"/>
          <w:sz w:val="22"/>
          <w:szCs w:val="22"/>
        </w:rPr>
        <w:t xml:space="preserve">Resumen de noticias relevantes para direccion — Mexicali y Baja California</w:t>
      </w:r>
    </w:p>
    <w:p>
      <w:pPr>
        <w:pBdr>
          <w:top w:val="single" w:color="6F6A5F" w:sz="6"/>
          <w:bottom w:val="single" w:color="6F6A5F" w:sz="6"/>
        </w:pBdr>
        <w:spacing w:after="120"/>
      </w:pPr>
      <w:r>
        <w:rPr>
          <w:rFonts w:ascii="Calibri" w:cs="Calibri" w:eastAsia="Calibri" w:hAnsi="Calibri"/>
          <w:color w:val="6F6A5F"/>
          <w:sz w:val="18"/>
          <w:szCs w:val="18"/>
        </w:rPr>
        <w:t xml:space="preserve">Semana 29 · julio · 13-19 jul 2026    |    0 notas</w:t>
      </w:r>
    </w:p>
    <w:p>
      <w:pPr>
        <w:spacing w:after="200"/>
      </w:pPr>
      <w:r>
        <w:rPr>
          <w:rFonts w:ascii="Calibri" w:cs="Calibri" w:eastAsia="Calibri" w:hAnsi="Calibri"/>
          <w:color w:val="1f8a4c"/>
        </w:rPr>
        <w:t xml:space="preserve">■ </w:t>
      </w:r>
      <w:r>
        <w:rPr>
          <w:rFonts w:ascii="Calibri" w:cs="Calibri" w:eastAsia="Calibri" w:hAnsi="Calibri"/>
          <w:color w:val="6F6A5F"/>
          <w:sz w:val="16"/>
          <w:szCs w:val="16"/>
        </w:rPr>
        <w:t xml:space="preserve">Verde — Oportunidad / positivo    </w:t>
      </w:r>
      <w:r>
        <w:rPr>
          <w:rFonts w:ascii="Calibri" w:cs="Calibri" w:eastAsia="Calibri" w:hAnsi="Calibri"/>
          <w:color w:val="d99500"/>
        </w:rPr>
        <w:t xml:space="preserve">■ </w:t>
      </w:r>
      <w:r>
        <w:rPr>
          <w:rFonts w:ascii="Calibri" w:cs="Calibri" w:eastAsia="Calibri" w:hAnsi="Calibri"/>
          <w:color w:val="6F6A5F"/>
          <w:sz w:val="16"/>
          <w:szCs w:val="16"/>
        </w:rPr>
        <w:t xml:space="preserve">Amarillo — Seguimiento / neutral    </w:t>
      </w:r>
      <w:r>
        <w:rPr>
          <w:rFonts w:ascii="Calibri" w:cs="Calibri" w:eastAsia="Calibri" w:hAnsi="Calibri"/>
          <w:color w:val="c0392b"/>
        </w:rPr>
        <w:t xml:space="preserve">■ </w:t>
      </w:r>
      <w:r>
        <w:rPr>
          <w:rFonts w:ascii="Calibri" w:cs="Calibri" w:eastAsia="Calibri" w:hAnsi="Calibri"/>
          <w:color w:val="6F6A5F"/>
          <w:sz w:val="16"/>
          <w:szCs w:val="16"/>
        </w:rPr>
        <w:t xml:space="preserve">Rojo — Alerta / riesgo    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1.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Filantropia y responsabilidad social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esta semana.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2.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Empresas y lideres establecidos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esta semana.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3.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Inversion entrante / expansiones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esta semana.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4.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Gobierno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esta semana.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5.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Hacienda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esta semana.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6.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Agropecuario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esta semana.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7.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Camaras empresariales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esta semana.</w:t>
      </w:r>
    </w:p>
    <w:p>
      <w:pPr>
        <w:pBdr>
          <w:top w:val="double" w:color="22303D" w:sz="6"/>
        </w:pBdr>
        <w:spacing w:before="360"/>
        <w:jc w:val="center"/>
      </w:pPr>
      <w:r>
        <w:rPr>
          <w:rFonts w:ascii="Calibri" w:cs="Calibri" w:eastAsia="Calibri" w:hAnsi="Calibri"/>
          <w:color w:val="6F6A5F"/>
          <w:sz w:val="16"/>
          <w:szCs w:val="16"/>
        </w:rPr>
        <w:t xml:space="preserve">Avance Institucional — documento interno de monitoreo.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2026-07-17T16:17:27.265Z</dcterms:created>
  <dcterms:modified xsi:type="dcterms:W3CDTF">2026-07-17T16:17:27.265Z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