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6F6A5F"/>
          <w:spacing w:val="40"/>
          <w:sz w:val="14"/>
          <w:szCs w:val="14"/>
        </w:rPr>
        <w:t xml:space="preserve">BOLETIN MENSUAL · MONITOREO DE NOTICIAS</w:t>
      </w:r>
    </w:p>
    <w:p>
      <w:r>
        <w:rPr>
          <w:rFonts w:ascii="Calibri" w:cs="Calibri" w:eastAsia="Calibri" w:hAnsi="Calibri"/>
          <w:b/>
          <w:bCs/>
          <w:color w:val="22303D"/>
          <w:sz w:val="56"/>
          <w:szCs w:val="56"/>
        </w:rPr>
        <w:t xml:space="preserve">Avance Institucional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78"/>
          <w:sz w:val="22"/>
          <w:szCs w:val="22"/>
        </w:rPr>
        <w:t xml:space="preserve">Resumen de noticias relevantes para direccion — Mexicali y Baja California</w:t>
      </w:r>
    </w:p>
    <w:p>
      <w:pPr>
        <w:pBdr>
          <w:top w:val="single" w:color="6F6A5F" w:sz="6"/>
          <w:bottom w:val="single" w:color="6F6A5F" w:sz="6"/>
        </w:pBdr>
        <w:spacing w:after="120"/>
      </w:pPr>
      <w:r>
        <w:rPr>
          <w:rFonts w:ascii="Calibri" w:cs="Calibri" w:eastAsia="Calibri" w:hAnsi="Calibri"/>
          <w:color w:val="6F6A5F"/>
          <w:sz w:val="18"/>
          <w:szCs w:val="18"/>
        </w:rPr>
        <w:t xml:space="preserve">Resumen mensual · Julio 2026    |    0 notas</w:t>
      </w:r>
    </w:p>
    <w:p>
      <w:pPr>
        <w:spacing w:after="200"/>
      </w:pPr>
      <w:r>
        <w:rPr>
          <w:rFonts w:ascii="Calibri" w:cs="Calibri" w:eastAsia="Calibri" w:hAnsi="Calibri"/>
          <w:color w:val="1f8a4c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Verde — Oportunidad / positivo    </w:t>
      </w:r>
      <w:r>
        <w:rPr>
          <w:rFonts w:ascii="Calibri" w:cs="Calibri" w:eastAsia="Calibri" w:hAnsi="Calibri"/>
          <w:color w:val="d99500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Amarillo — Seguimiento / neutral    </w:t>
      </w:r>
      <w:r>
        <w:rPr>
          <w:rFonts w:ascii="Calibri" w:cs="Calibri" w:eastAsia="Calibri" w:hAnsi="Calibri"/>
          <w:color w:val="c0392b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Rojo — Alerta / riesgo    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Filantropia y responsabilidad social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Empresas y lideres establecidos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Inversion entrante / expansiones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Gobierno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Hacienda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Agropecuario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Camaras empresariales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top w:val="double" w:color="22303D" w:sz="6"/>
        </w:pBdr>
        <w:spacing w:before="360"/>
        <w:jc w:val="center"/>
      </w:pPr>
      <w:r>
        <w:rPr>
          <w:rFonts w:ascii="Calibri" w:cs="Calibri" w:eastAsia="Calibri" w:hAnsi="Calibri"/>
          <w:color w:val="6F6A5F"/>
          <w:sz w:val="16"/>
          <w:szCs w:val="16"/>
        </w:rPr>
        <w:t xml:space="preserve">Avance Institucional — documento interno de monitoreo.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2026-07-31T16:47:58.395Z</dcterms:created>
  <dcterms:modified xsi:type="dcterms:W3CDTF">2026-07-31T16:47:58.395Z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