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color w:val="6F6A5F"/>
          <w:spacing w:val="40"/>
          <w:sz w:val="14"/>
          <w:szCs w:val="14"/>
        </w:rPr>
        <w:t xml:space="preserve">BOLETIN SEMANAL · MONITOREO DE NOTICIAS</w:t>
      </w:r>
    </w:p>
    <w:p>
      <w:r>
        <w:rPr>
          <w:rFonts w:ascii="Calibri" w:cs="Calibri" w:eastAsia="Calibri" w:hAnsi="Calibri"/>
          <w:b/>
          <w:bCs/>
          <w:color w:val="22303D"/>
          <w:sz w:val="56"/>
          <w:szCs w:val="56"/>
        </w:rPr>
        <w:t xml:space="preserve">Avance Institucional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2C5278"/>
          <w:sz w:val="22"/>
          <w:szCs w:val="22"/>
        </w:rPr>
        <w:t xml:space="preserve">Resumen de noticias relevantes para direccion — Mexicali y Baja California</w:t>
      </w:r>
    </w:p>
    <w:p>
      <w:pPr>
        <w:pBdr>
          <w:top w:val="single" w:color="6F6A5F" w:sz="6"/>
          <w:bottom w:val="single" w:color="6F6A5F" w:sz="6"/>
        </w:pBdr>
        <w:spacing w:after="120"/>
      </w:pPr>
      <w:r>
        <w:rPr>
          <w:rFonts w:ascii="Calibri" w:cs="Calibri" w:eastAsia="Calibri" w:hAnsi="Calibri"/>
          <w:color w:val="6F6A5F"/>
          <w:sz w:val="18"/>
          <w:szCs w:val="18"/>
        </w:rPr>
        <w:t xml:space="preserve">Semana 31 · julio · 27 jul - 2 ago 2026    |    0 notas</w:t>
      </w:r>
    </w:p>
    <w:p>
      <w:pPr>
        <w:spacing w:after="200"/>
      </w:pPr>
      <w:r>
        <w:rPr>
          <w:rFonts w:ascii="Calibri" w:cs="Calibri" w:eastAsia="Calibri" w:hAnsi="Calibri"/>
          <w:color w:val="1f8a4c"/>
        </w:rPr>
        <w:t xml:space="preserve">■ </w:t>
      </w:r>
      <w:r>
        <w:rPr>
          <w:rFonts w:ascii="Calibri" w:cs="Calibri" w:eastAsia="Calibri" w:hAnsi="Calibri"/>
          <w:color w:val="6F6A5F"/>
          <w:sz w:val="16"/>
          <w:szCs w:val="16"/>
        </w:rPr>
        <w:t xml:space="preserve">Verde — Oportunidad / positivo    </w:t>
      </w:r>
      <w:r>
        <w:rPr>
          <w:rFonts w:ascii="Calibri" w:cs="Calibri" w:eastAsia="Calibri" w:hAnsi="Calibri"/>
          <w:color w:val="d99500"/>
        </w:rPr>
        <w:t xml:space="preserve">■ </w:t>
      </w:r>
      <w:r>
        <w:rPr>
          <w:rFonts w:ascii="Calibri" w:cs="Calibri" w:eastAsia="Calibri" w:hAnsi="Calibri"/>
          <w:color w:val="6F6A5F"/>
          <w:sz w:val="16"/>
          <w:szCs w:val="16"/>
        </w:rPr>
        <w:t xml:space="preserve">Amarillo — Seguimiento / neutral    </w:t>
      </w:r>
      <w:r>
        <w:rPr>
          <w:rFonts w:ascii="Calibri" w:cs="Calibri" w:eastAsia="Calibri" w:hAnsi="Calibri"/>
          <w:color w:val="c0392b"/>
        </w:rPr>
        <w:t xml:space="preserve">■ </w:t>
      </w:r>
      <w:r>
        <w:rPr>
          <w:rFonts w:ascii="Calibri" w:cs="Calibri" w:eastAsia="Calibri" w:hAnsi="Calibri"/>
          <w:color w:val="6F6A5F"/>
          <w:sz w:val="16"/>
          <w:szCs w:val="16"/>
        </w:rPr>
        <w:t xml:space="preserve">Rojo — Alerta / riesgo    </w:t>
      </w:r>
    </w:p>
    <w:p>
      <w:pPr>
        <w:pBdr>
          <w:bottom w:val="single" w:color="22303D" w:sz="12"/>
        </w:pBdr>
        <w:spacing w:after="60" w:before="320"/>
      </w:pPr>
      <w:r>
        <w:rPr>
          <w:rFonts w:ascii="Calibri" w:cs="Calibri" w:eastAsia="Calibri" w:hAnsi="Calibri"/>
          <w:b/>
          <w:bCs/>
          <w:color w:val="3A6EA5"/>
          <w:sz w:val="26"/>
          <w:szCs w:val="26"/>
        </w:rPr>
        <w:t xml:space="preserve">1. </w:t>
      </w:r>
      <w:r>
        <w:rPr>
          <w:rFonts w:ascii="Calibri" w:cs="Calibri" w:eastAsia="Calibri" w:hAnsi="Calibri"/>
          <w:b/>
          <w:bCs/>
          <w:color w:val="22303D"/>
          <w:sz w:val="26"/>
          <w:szCs w:val="26"/>
        </w:rPr>
        <w:t xml:space="preserve">Filantropia y responsabilidad social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F6A5F"/>
          <w:sz w:val="18"/>
          <w:szCs w:val="18"/>
        </w:rPr>
        <w:t xml:space="preserve">Sin notas esta semana.</w:t>
      </w:r>
    </w:p>
    <w:p>
      <w:pPr>
        <w:pBdr>
          <w:bottom w:val="single" w:color="22303D" w:sz="12"/>
        </w:pBdr>
        <w:spacing w:after="60" w:before="320"/>
      </w:pPr>
      <w:r>
        <w:rPr>
          <w:rFonts w:ascii="Calibri" w:cs="Calibri" w:eastAsia="Calibri" w:hAnsi="Calibri"/>
          <w:b/>
          <w:bCs/>
          <w:color w:val="3A6EA5"/>
          <w:sz w:val="26"/>
          <w:szCs w:val="26"/>
        </w:rPr>
        <w:t xml:space="preserve">2. </w:t>
      </w:r>
      <w:r>
        <w:rPr>
          <w:rFonts w:ascii="Calibri" w:cs="Calibri" w:eastAsia="Calibri" w:hAnsi="Calibri"/>
          <w:b/>
          <w:bCs/>
          <w:color w:val="22303D"/>
          <w:sz w:val="26"/>
          <w:szCs w:val="26"/>
        </w:rPr>
        <w:t xml:space="preserve">Empresas y lideres establecidos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F6A5F"/>
          <w:sz w:val="18"/>
          <w:szCs w:val="18"/>
        </w:rPr>
        <w:t xml:space="preserve">Sin notas esta semana.</w:t>
      </w:r>
    </w:p>
    <w:p>
      <w:pPr>
        <w:pBdr>
          <w:bottom w:val="single" w:color="22303D" w:sz="12"/>
        </w:pBdr>
        <w:spacing w:after="60" w:before="320"/>
      </w:pPr>
      <w:r>
        <w:rPr>
          <w:rFonts w:ascii="Calibri" w:cs="Calibri" w:eastAsia="Calibri" w:hAnsi="Calibri"/>
          <w:b/>
          <w:bCs/>
          <w:color w:val="3A6EA5"/>
          <w:sz w:val="26"/>
          <w:szCs w:val="26"/>
        </w:rPr>
        <w:t xml:space="preserve">3. </w:t>
      </w:r>
      <w:r>
        <w:rPr>
          <w:rFonts w:ascii="Calibri" w:cs="Calibri" w:eastAsia="Calibri" w:hAnsi="Calibri"/>
          <w:b/>
          <w:bCs/>
          <w:color w:val="22303D"/>
          <w:sz w:val="26"/>
          <w:szCs w:val="26"/>
        </w:rPr>
        <w:t xml:space="preserve">Inversion entrante / expansiones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F6A5F"/>
          <w:sz w:val="18"/>
          <w:szCs w:val="18"/>
        </w:rPr>
        <w:t xml:space="preserve">Sin notas esta semana.</w:t>
      </w:r>
    </w:p>
    <w:p>
      <w:pPr>
        <w:pBdr>
          <w:bottom w:val="single" w:color="22303D" w:sz="12"/>
        </w:pBdr>
        <w:spacing w:after="60" w:before="320"/>
      </w:pPr>
      <w:r>
        <w:rPr>
          <w:rFonts w:ascii="Calibri" w:cs="Calibri" w:eastAsia="Calibri" w:hAnsi="Calibri"/>
          <w:b/>
          <w:bCs/>
          <w:color w:val="3A6EA5"/>
          <w:sz w:val="26"/>
          <w:szCs w:val="26"/>
        </w:rPr>
        <w:t xml:space="preserve">4. </w:t>
      </w:r>
      <w:r>
        <w:rPr>
          <w:rFonts w:ascii="Calibri" w:cs="Calibri" w:eastAsia="Calibri" w:hAnsi="Calibri"/>
          <w:b/>
          <w:bCs/>
          <w:color w:val="22303D"/>
          <w:sz w:val="26"/>
          <w:szCs w:val="26"/>
        </w:rPr>
        <w:t xml:space="preserve">Gobierno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F6A5F"/>
          <w:sz w:val="18"/>
          <w:szCs w:val="18"/>
        </w:rPr>
        <w:t xml:space="preserve">Sin notas esta semana.</w:t>
      </w:r>
    </w:p>
    <w:p>
      <w:pPr>
        <w:pBdr>
          <w:bottom w:val="single" w:color="22303D" w:sz="12"/>
        </w:pBdr>
        <w:spacing w:after="60" w:before="320"/>
      </w:pPr>
      <w:r>
        <w:rPr>
          <w:rFonts w:ascii="Calibri" w:cs="Calibri" w:eastAsia="Calibri" w:hAnsi="Calibri"/>
          <w:b/>
          <w:bCs/>
          <w:color w:val="3A6EA5"/>
          <w:sz w:val="26"/>
          <w:szCs w:val="26"/>
        </w:rPr>
        <w:t xml:space="preserve">5. </w:t>
      </w:r>
      <w:r>
        <w:rPr>
          <w:rFonts w:ascii="Calibri" w:cs="Calibri" w:eastAsia="Calibri" w:hAnsi="Calibri"/>
          <w:b/>
          <w:bCs/>
          <w:color w:val="22303D"/>
          <w:sz w:val="26"/>
          <w:szCs w:val="26"/>
        </w:rPr>
        <w:t xml:space="preserve">Hacienda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F6A5F"/>
          <w:sz w:val="18"/>
          <w:szCs w:val="18"/>
        </w:rPr>
        <w:t xml:space="preserve">Sin notas esta semana.</w:t>
      </w:r>
    </w:p>
    <w:p>
      <w:pPr>
        <w:pBdr>
          <w:bottom w:val="single" w:color="22303D" w:sz="12"/>
        </w:pBdr>
        <w:spacing w:after="60" w:before="320"/>
      </w:pPr>
      <w:r>
        <w:rPr>
          <w:rFonts w:ascii="Calibri" w:cs="Calibri" w:eastAsia="Calibri" w:hAnsi="Calibri"/>
          <w:b/>
          <w:bCs/>
          <w:color w:val="3A6EA5"/>
          <w:sz w:val="26"/>
          <w:szCs w:val="26"/>
        </w:rPr>
        <w:t xml:space="preserve">6. </w:t>
      </w:r>
      <w:r>
        <w:rPr>
          <w:rFonts w:ascii="Calibri" w:cs="Calibri" w:eastAsia="Calibri" w:hAnsi="Calibri"/>
          <w:b/>
          <w:bCs/>
          <w:color w:val="22303D"/>
          <w:sz w:val="26"/>
          <w:szCs w:val="26"/>
        </w:rPr>
        <w:t xml:space="preserve">Agropecuario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F6A5F"/>
          <w:sz w:val="18"/>
          <w:szCs w:val="18"/>
        </w:rPr>
        <w:t xml:space="preserve">Sin notas esta semana.</w:t>
      </w:r>
    </w:p>
    <w:p>
      <w:pPr>
        <w:pBdr>
          <w:bottom w:val="single" w:color="22303D" w:sz="12"/>
        </w:pBdr>
        <w:spacing w:after="60" w:before="320"/>
      </w:pPr>
      <w:r>
        <w:rPr>
          <w:rFonts w:ascii="Calibri" w:cs="Calibri" w:eastAsia="Calibri" w:hAnsi="Calibri"/>
          <w:b/>
          <w:bCs/>
          <w:color w:val="3A6EA5"/>
          <w:sz w:val="26"/>
          <w:szCs w:val="26"/>
        </w:rPr>
        <w:t xml:space="preserve">7. </w:t>
      </w:r>
      <w:r>
        <w:rPr>
          <w:rFonts w:ascii="Calibri" w:cs="Calibri" w:eastAsia="Calibri" w:hAnsi="Calibri"/>
          <w:b/>
          <w:bCs/>
          <w:color w:val="22303D"/>
          <w:sz w:val="26"/>
          <w:szCs w:val="26"/>
        </w:rPr>
        <w:t xml:space="preserve">Camaras empresariales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F6A5F"/>
          <w:sz w:val="18"/>
          <w:szCs w:val="18"/>
        </w:rPr>
        <w:t xml:space="preserve">Sin notas esta semana.</w:t>
      </w:r>
    </w:p>
    <w:p>
      <w:pPr>
        <w:pBdr>
          <w:top w:val="double" w:color="22303D" w:sz="6"/>
        </w:pBdr>
        <w:spacing w:before="360"/>
        <w:jc w:val="center"/>
      </w:pPr>
      <w:r>
        <w:rPr>
          <w:rFonts w:ascii="Calibri" w:cs="Calibri" w:eastAsia="Calibri" w:hAnsi="Calibri"/>
          <w:color w:val="6F6A5F"/>
          <w:sz w:val="16"/>
          <w:szCs w:val="16"/>
        </w:rPr>
        <w:t xml:space="preserve">Avance Institucional — documento interno de monitoreo.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2026-07-31T16:47:58.337Z</dcterms:created>
  <dcterms:modified xsi:type="dcterms:W3CDTF">2026-07-31T16:47:58.337Z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