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6F6A5F"/>
          <w:spacing w:val="40"/>
          <w:sz w:val="14"/>
          <w:szCs w:val="14"/>
        </w:rPr>
        <w:t xml:space="preserve">BOLETIN SEMANAL · MONITOREO DE NOTICIAS</w:t>
      </w:r>
    </w:p>
    <w:p>
      <w:r>
        <w:rPr>
          <w:rFonts w:ascii="Calibri" w:cs="Calibri" w:eastAsia="Calibri" w:hAnsi="Calibri"/>
          <w:b/>
          <w:bCs/>
          <w:color w:val="22303D"/>
          <w:sz w:val="56"/>
          <w:szCs w:val="56"/>
        </w:rPr>
        <w:t xml:space="preserve">Avance Institucional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78"/>
          <w:sz w:val="22"/>
          <w:szCs w:val="22"/>
        </w:rPr>
        <w:t xml:space="preserve">Resumen de noticias relevantes para direccion — Mexicali y Baja California</w:t>
      </w:r>
    </w:p>
    <w:p>
      <w:pPr>
        <w:pBdr>
          <w:top w:val="single" w:color="6F6A5F" w:sz="6"/>
          <w:bottom w:val="single" w:color="6F6A5F" w:sz="6"/>
        </w:pBdr>
        <w:spacing w:after="120"/>
      </w:pPr>
      <w:r>
        <w:rPr>
          <w:rFonts w:ascii="Calibri" w:cs="Calibri" w:eastAsia="Calibri" w:hAnsi="Calibri"/>
          <w:color w:val="6F6A5F"/>
          <w:sz w:val="18"/>
          <w:szCs w:val="18"/>
        </w:rPr>
        <w:t xml:space="preserve">Semana 32 · agosto · 3-9 ago 2026    |    0 notas</w:t>
      </w:r>
    </w:p>
    <w:p>
      <w:pPr>
        <w:spacing w:after="200"/>
      </w:pPr>
      <w:r>
        <w:rPr>
          <w:rFonts w:ascii="Calibri" w:cs="Calibri" w:eastAsia="Calibri" w:hAnsi="Calibri"/>
          <w:color w:val="1f8a4c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Verde — Oportunidad / positivo    </w:t>
      </w:r>
      <w:r>
        <w:rPr>
          <w:rFonts w:ascii="Calibri" w:cs="Calibri" w:eastAsia="Calibri" w:hAnsi="Calibri"/>
          <w:color w:val="d99500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Amarillo — Seguimiento / neutral    </w:t>
      </w:r>
      <w:r>
        <w:rPr>
          <w:rFonts w:ascii="Calibri" w:cs="Calibri" w:eastAsia="Calibri" w:hAnsi="Calibri"/>
          <w:color w:val="c0392b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Rojo — Alerta / riesgo    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Filantropia y responsabilidad social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Empresas y lideres establecidos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Inversion entrante / expansiones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Gobierno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Hacienda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Agropecuario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Camaras empresariales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top w:val="double" w:color="22303D" w:sz="6"/>
        </w:pBdr>
        <w:spacing w:before="360"/>
        <w:jc w:val="center"/>
      </w:pPr>
      <w:r>
        <w:rPr>
          <w:rFonts w:ascii="Calibri" w:cs="Calibri" w:eastAsia="Calibri" w:hAnsi="Calibri"/>
          <w:color w:val="6F6A5F"/>
          <w:sz w:val="16"/>
          <w:szCs w:val="16"/>
        </w:rPr>
        <w:t xml:space="preserve">Avance Institucional — documento interno de monitoreo.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2026-08-07T15:58:38.672Z</dcterms:created>
  <dcterms:modified xsi:type="dcterms:W3CDTF">2026-08-07T15:58:38.672Z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