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260" w:line="360" w:lineRule="auto"/>
        <w:rPr>
          <w:rtl/>
        </w:rPr>
      </w:pPr>
      <w:r>
        <w:rPr>
          <w:rFonts w:ascii="Arial" w:hAnsi="Arial" w:cs="Arial"/>
          <w:b/>
          <w:bCs/>
          <w:color w:val="1C4587"/>
          <w:sz w:val="34"/>
          <w:szCs w:val="34"/>
          <w:rtl/>
          <w:lang w:bidi="he-IL"/>
        </w:rPr>
        <w:t xml:space="preserve">לוח הגיליונות - מגיליון 1 עד ראש השנה תשפ"ט</w:t>
      </w:r>
    </w:p>
    <w:p>
      <w:pPr>
        <w:bidi/>
        <w:jc w:val="center"/>
        <w:spacing w:after="200" w:line="360" w:lineRule="auto"/>
        <w:rPr>
          <w:rtl/>
        </w:rPr>
      </w:pPr>
      <w:r>
        <w:rPr>
          <w:rFonts w:ascii="Arial" w:hAnsi="Arial" w:cs="Arial"/>
          <w:b/>
          <w:bCs/>
          <w:color w:val="1C4587"/>
          <w:sz w:val="28"/>
          <w:szCs w:val="28"/>
          <w:rtl/>
          <w:lang w:bidi="he-IL"/>
        </w:rPr>
        <w:t xml:space="preserve">תשפ"ו</w:t>
      </w:r>
    </w:p>
    <w:tbl>
      <w:tblPr>
        <w:bidiVisual/>
        <w:tblW w:w="9900" w:type="dxa"/>
        <w:tblBorders>
          <w:top w:val="single" w:sz="4" w:space="0" w:color="B8C6DA"/>
          <w:left w:val="single" w:sz="4" w:space="0" w:color="B8C6DA"/>
          <w:bottom w:val="single" w:sz="4" w:space="0" w:color="B8C6DA"/>
          <w:right w:val="single" w:sz="4" w:space="0" w:color="B8C6DA"/>
          <w:insideH w:val="single" w:sz="4" w:space="0" w:color="B8C6DA"/>
          <w:insideV w:val="single" w:sz="4" w:space="0" w:color="B8C6DA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50"/>
        <w:gridCol w:w="1150"/>
        <w:gridCol w:w="1500"/>
        <w:gridCol w:w="2200"/>
        <w:gridCol w:w="2700"/>
        <w:gridCol w:w="1700"/>
      </w:tblGrid>
      <w:tr>
        <w:trPr>
          <w:tblHeader/>
        </w:trPr>
        <w:tc>
          <w:tcPr>
            <w:tcW w:w="65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גיליון</w:t>
            </w:r>
          </w:p>
        </w:tc>
        <w:tc>
          <w:tcPr>
            <w:tcW w:w="115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שבת</w:t>
            </w:r>
          </w:p>
        </w:tc>
        <w:tc>
          <w:tcPr>
            <w:tcW w:w="15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תאריך עברי</w:t>
            </w:r>
          </w:p>
        </w:tc>
        <w:tc>
          <w:tcPr>
            <w:tcW w:w="22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פרשה / חג</w:t>
            </w:r>
          </w:p>
        </w:tc>
        <w:tc>
          <w:tcPr>
            <w:tcW w:w="27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רעיונות</w:t>
            </w:r>
          </w:p>
        </w:tc>
        <w:tc>
          <w:tcPr>
            <w:tcW w:w="17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הערה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15.8.2026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ב׳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שופטים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נשלח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22.8.2026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ט׳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כי תצא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נשלח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29.8.2026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ט״ז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כי תבוא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נשלח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5.9.2026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כ״ג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ניצבים-וילך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נשלח</w:t>
            </w:r>
          </w:p>
        </w:tc>
      </w:tr>
    </w:tbl>
    <w:p>
      <w:pPr>
        <w:bidi/>
        <w:spacing w:after="0"/>
      </w:pPr>
    </w:p>
    <w:p>
      <w:pPr>
        <w:bidi/>
        <w:jc w:val="center"/>
        <w:spacing w:after="200" w:line="360" w:lineRule="auto"/>
        <w:rPr>
          <w:rtl/>
        </w:rPr>
      </w:pPr>
      <w:r>
        <w:rPr>
          <w:rFonts w:ascii="Arial" w:hAnsi="Arial" w:cs="Arial"/>
          <w:b/>
          <w:bCs/>
          <w:color w:val="1C4587"/>
          <w:sz w:val="28"/>
          <w:szCs w:val="28"/>
          <w:rtl/>
          <w:lang w:bidi="he-IL"/>
        </w:rPr>
        <w:t xml:space="preserve">תשפ"ז</w:t>
      </w:r>
    </w:p>
    <w:tbl>
      <w:tblPr>
        <w:bidiVisual/>
        <w:tblW w:w="9900" w:type="dxa"/>
        <w:tblBorders>
          <w:top w:val="single" w:sz="4" w:space="0" w:color="B8C6DA"/>
          <w:left w:val="single" w:sz="4" w:space="0" w:color="B8C6DA"/>
          <w:bottom w:val="single" w:sz="4" w:space="0" w:color="B8C6DA"/>
          <w:right w:val="single" w:sz="4" w:space="0" w:color="B8C6DA"/>
          <w:insideH w:val="single" w:sz="4" w:space="0" w:color="B8C6DA"/>
          <w:insideV w:val="single" w:sz="4" w:space="0" w:color="B8C6DA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50"/>
        <w:gridCol w:w="1150"/>
        <w:gridCol w:w="1500"/>
        <w:gridCol w:w="2200"/>
        <w:gridCol w:w="2700"/>
        <w:gridCol w:w="1700"/>
      </w:tblGrid>
      <w:tr>
        <w:trPr>
          <w:tblHeader/>
        </w:trPr>
        <w:tc>
          <w:tcPr>
            <w:tcW w:w="65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גיליון</w:t>
            </w:r>
          </w:p>
        </w:tc>
        <w:tc>
          <w:tcPr>
            <w:tcW w:w="115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שבת</w:t>
            </w:r>
          </w:p>
        </w:tc>
        <w:tc>
          <w:tcPr>
            <w:tcW w:w="15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תאריך עברי</w:t>
            </w:r>
          </w:p>
        </w:tc>
        <w:tc>
          <w:tcPr>
            <w:tcW w:w="22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פרשה / חג</w:t>
            </w:r>
          </w:p>
        </w:tc>
        <w:tc>
          <w:tcPr>
            <w:tcW w:w="27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רעיונות</w:t>
            </w:r>
          </w:p>
        </w:tc>
        <w:tc>
          <w:tcPr>
            <w:tcW w:w="17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הערה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12.9.2026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א׳ בתשרי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ראש השנה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נשלח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19.9.2026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ח׳ בתשרי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האזינו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נשלח · שבת שובה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26.9.2026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ט״ו בתשרי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סוכות א׳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נשלח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3.10.2026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כ״ב בתשרי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שמחת תורה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נשלח · שמיני עצרת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10.10.2026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כ״ט בתשרי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בראשית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נשלח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17.10.2026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ו׳ בחשוון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נח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נשלח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24.10.2026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י״ג בחשוון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לך לך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בעבודה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31.10.2026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כ׳ בחשוון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וירא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בעבודה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7.11.2026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כ״ז בחשוון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חיי שרה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14.11.2026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ד׳ בכסלו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תולדות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21.11.2026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י״א בכסלו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ויצא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28.11.2026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י״ח בכסלו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וישלח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אל תברח מזה!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כותרת וכיוון בלבד - בטיוטה מופנה לרשב"ם על הפרשה</w:t>
            </w: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5.12.2026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כ״ה בכסלו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וישב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חנוכה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12.12.2026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ב׳ בטבת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מקץ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חנוכה · זאת חנוכה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19.12.2026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ט׳ בטבת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ויגש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26.12.2026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ט״ז בטבת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ויחי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2.1.2027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כ״ג בטבת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שמות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9.1.2027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א׳ בשבט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וארא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16.1.2027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ח׳ בשבט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23.1.2027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ט״ו בשבט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בשלח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שירה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30.1.2027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כ״ב בשבט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יתרו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6.2.2027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כ״ט בשבט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משפטים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13.2.2027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ו׳ באדר א׳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תרומה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20.2.2027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י״ג באדר א׳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תצוה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27.2.2027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כ׳ באדר א׳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כי תשא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6.3.2027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כ״ז באדר א׳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ויקהל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שקלים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13.3.2027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ד׳ באדר ב׳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פקודי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20.3.2027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י״א באדר ב׳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ויקרא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זכור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27.3.2027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י״ח באדר ב׳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צו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פרה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3.4.2027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כ״ה באדר ב׳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שמיני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החודש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10.4.2027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ג׳ בניסן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תזריע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17.4.2027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י׳ בניסן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מצורע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הגדול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24.4.2027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י״ז בניסן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חול המועד פסח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1.5.2027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כ״ד בניסן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אחרי מות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8.5.2027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א׳ באייר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קדושים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15.5.2027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ח׳ באייר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אמור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22.5.2027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ט״ו באייר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בהר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29.5.2027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כ״ב באייר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בחוקותי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5.6.2027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כ״ט באייר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במדבר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12.6.2027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ז׳ בסיוון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נשא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19.6.2027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י״ד בסיוון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בהעלותך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26.6.2027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כ״א בסיוון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שלח לך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3.7.2027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כ״ח בסיוון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קורח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10.7.2027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ה׳ בתמוז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חוקת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17.7.2027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י״ב בתמוז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בלק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תקום כמו אריה!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"הן עם כלביא יקום" · דעת זקנים - האויב חשב להשפיל אותו והוא קם · לקום מיד אחרי הנפילה: נפילה שוברת את הרוח ויש נטייה לדשדש בה ולהפוך אותה למפולת, לשרשרת נפילות, ורק אז לחזור למסלול · ההסבר העמוק של הרב חרל"פ על "עבירה גוררת עבירה" - זה לא חייב להיות ככה · ראב"ע - עם ישראל יוצא מיד למלחמת מדיין, ההתנערות של האריה שהותקף · הנצי"ב - הרוממות והכבוד העצמי של האריה לא נותנים לו להישאר בנפילה</w:t>
            </w: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24.7.2027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י״ט בתמוז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פינחס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31.7.2027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כ״ו בתמוז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מטות-מסעי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7.8.2027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ד׳ באב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דברים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חזון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14.8.2027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י״א באב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ואתחנן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נחמו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21.8.2027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י״ח באב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עקב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28.8.2027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כ״ה באב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ראה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4.9.2027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ב׳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שופטים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11.9.2027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ט׳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כי תצא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18.9.2027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ט״ז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כי תבוא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25.9.2027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כ״ג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ניצבים-וילך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אל תהיה זקן! / אני כבר מבוגר!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גם בגיל מבוגר אפשר לעשות שינוי · אברהם הולך לארץ כנען בגיל 75, רבי עקיבא מתחיל בגיל 40 · דברי רבי נחמן על כך שאסור להיות זקן · מתאים גם לפרשת וילך, על משה רבנו ש"לא כהתה עינו ולא נס ליחה" - הנקודה הפנימית שבכל אחד, זו שמוציאה אותו ממצרים · הרעיון רשום בבנק פעמיים, ללך לך ולוילך</w:t>
            </w: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</w:tbl>
    <w:p>
      <w:pPr>
        <w:bidi/>
        <w:spacing w:after="0"/>
      </w:pPr>
    </w:p>
    <w:p>
      <w:pPr>
        <w:bidi/>
        <w:jc w:val="center"/>
        <w:spacing w:after="200" w:line="360" w:lineRule="auto"/>
        <w:rPr>
          <w:rtl/>
        </w:rPr>
      </w:pPr>
      <w:r>
        <w:rPr>
          <w:rFonts w:ascii="Arial" w:hAnsi="Arial" w:cs="Arial"/>
          <w:b/>
          <w:bCs/>
          <w:color w:val="1C4587"/>
          <w:sz w:val="28"/>
          <w:szCs w:val="28"/>
          <w:rtl/>
          <w:lang w:bidi="he-IL"/>
        </w:rPr>
        <w:t xml:space="preserve">תשפ"ח</w:t>
      </w:r>
    </w:p>
    <w:tbl>
      <w:tblPr>
        <w:bidiVisual/>
        <w:tblW w:w="9900" w:type="dxa"/>
        <w:tblBorders>
          <w:top w:val="single" w:sz="4" w:space="0" w:color="B8C6DA"/>
          <w:left w:val="single" w:sz="4" w:space="0" w:color="B8C6DA"/>
          <w:bottom w:val="single" w:sz="4" w:space="0" w:color="B8C6DA"/>
          <w:right w:val="single" w:sz="4" w:space="0" w:color="B8C6DA"/>
          <w:insideH w:val="single" w:sz="4" w:space="0" w:color="B8C6DA"/>
          <w:insideV w:val="single" w:sz="4" w:space="0" w:color="B8C6DA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50"/>
        <w:gridCol w:w="1150"/>
        <w:gridCol w:w="1500"/>
        <w:gridCol w:w="2200"/>
        <w:gridCol w:w="2700"/>
        <w:gridCol w:w="1700"/>
      </w:tblGrid>
      <w:tr>
        <w:trPr>
          <w:tblHeader/>
        </w:trPr>
        <w:tc>
          <w:tcPr>
            <w:tcW w:w="65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גיליון</w:t>
            </w:r>
          </w:p>
        </w:tc>
        <w:tc>
          <w:tcPr>
            <w:tcW w:w="115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שבת</w:t>
            </w:r>
          </w:p>
        </w:tc>
        <w:tc>
          <w:tcPr>
            <w:tcW w:w="15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תאריך עברי</w:t>
            </w:r>
          </w:p>
        </w:tc>
        <w:tc>
          <w:tcPr>
            <w:tcW w:w="22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פרשה / חג</w:t>
            </w:r>
          </w:p>
        </w:tc>
        <w:tc>
          <w:tcPr>
            <w:tcW w:w="27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רעיונות</w:t>
            </w:r>
          </w:p>
        </w:tc>
        <w:tc>
          <w:tcPr>
            <w:tcW w:w="1700" w:type="dxa"/>
            <w:shd w:val="clear" w:fill="1C4587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  <w:rtl/>
                <w:lang w:bidi="he-IL"/>
              </w:rPr>
              <w:t xml:space="preserve">הערה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2.10.2027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א׳ בתשרי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ראש השנה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9.10.2027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ח׳ בתשרי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האזינו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שובה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16.10.2027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ט״ו בתשרי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סוכות א׳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23.10.2027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כ״ב בתשרי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שמחת תורה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לשמוח בהקפה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לשאוב כוח מהרצון שלנו להתקדם למקום טוב יותר · הוורט של הרב קרליבך על "יגל לבי בישועתך" · לבדוק את מקור הוורט ולבקש רשות על השיר</w:t>
            </w: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שמיני עצרת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30.10.2027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כ״ט בתשרי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בראשית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נחש נשך / נשיכת הנחש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העבירה היא דקירה קטנה; מה שממית הוא הארס שאחריה - עצבות וייאוש · הנשיכה בעקב, בכוח ההתמדה · אל תיתן לו לנשוך, ואם כבר - אל תיתן לארס להתפשט · מקורות: "אם יישוך הנחש בלא לחש", אשיב ממצולות, מפרשי הפרשה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זה בעצמות שלך!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האשה מן העצם - השכבה הפנימית ביותר, ומשם מורכבות ההתמודדות · הקבלה לאכילה: שני כוחות קיום שיוצאים מוויסות ומנחמים על רגשות קשים · העבודה לדייק אותם, "ייקוו המים אל מקום אחד" · תעשיות שרוכבות על הדחף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ואם לא תיטיב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לא "אם תעשה רע" אלא "אם לא תיטיב" - סור מרע לבדו אינו עובד · רבי ישראל סלנטר · משל פרקי האצבעות הלבנים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להתחיל! / תתחיל!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רב ייבי: העולם נברא בשביל ההתחלות שאנחנו עושים, ואת השאר הוא גומר בעדנו · מצורף השיר "צריך האדם להתחיל"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מים עליונים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אותו יסוד המים מתלבש בעליון או בפחות, וככל שנלביש אותו בעליון נמקם בו את עצמנו · "הללוהו... והמים אשר מעל השמים"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עדה וצילה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ההפרדה - "לתאווה יבקש נפרד" · להיעזר במה שנכתב בעבר על ליקוטי מוהר"ן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לא טוב היות האדם לבדו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כותרת וכיוון בלבד - בטיוטה יש הפניה אחת: Recovery in the Torah</w:t>
            </w: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6.11.2027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ו׳ בחשוון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נח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איך לבנות תיבה? / איך בונים תיבה?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שישה סימנים מבניין התיבה: מבית ומחוץ - סינון מול חיבור פנימי · לאורך ולא לגובה - לבסס לפני היעד הבא · צוהר - אור ולא רדיפה עצמית · "קח לך מכל מאכל" - דלק ומוטיבציה · יותר טהורות - פוקוס ערכי ולא נהנתני · "ויסגור ה' בעדו" - סייעתא דשמיא · וסיום: לא צריך לבנות לבד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כמו דג במים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מי שעיסוקו היומיומי מביא אותו במגע עם התאווה לא תמיד יכול להיות ספון בתיבה - והדגים נשארו חיים בלעדיה · טמאים מול טהורים שמנתבים את יסוד המים למקומות חיוביים · סימני הטהרה כנמשל: קשקשת - "שריון קשקשים הוא לבוש", חציצה בלי להתערבב · שם ויפת - לא בורחים מהזירה אבל גם לא מסתכלים, ופניהם אחורנית · רעיון לאיור: שניים הולכים אחורה ומכסים סמארטפון בשמיכה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אתה עורב או יונה?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המהות שלך יונה, והשאלה היא רק שההתנהגות תתאים לה · היונה עקבית (יוצאת שוב ושוב בשליחות, וגם אינה מחליפה בן זוג) מול העורב "ויצא יצוא ושוב" · עלה הזית - לבלוע את התרופה המרה (מוסר אביך) למען המטרה · לצרף: "חשבון הנפש", "שניים סוכר", ועיון במאפייני היונה והעורב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תצייר את הקשת שלך!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הקב"ה כורת ברית עם נוח ולא מסתפק בה, אלא יוצר לעצמו כביכול סימן שיזכיר - "והיה בענני ענן על הארץ ונראתה הקשת בענן" · ואין שכחה לפני כסא כבודו, אלא שדרכו לנהוג כך כדי ללמד אותנו ("נעשה אדם" - להתייעץ עם הקטנים; "ארדה נא ואראה" - לבדוק את העובדות לפני ההכרעה) · הנמשל: אחרי "מבול" שהמטנו על עצמנו ואחרי החרטה, ליצור סימן שיזכיר לנו בעתיד שאיננו רוצים בו שוב - למשל לכתוב את התחושות הקשות (קשות מלשון קשת?) · שבעת צבעי הקשת כנגד שבע המידות, ומכאן התבוננות בכל היבטי החיים שהשימוש בתאווה משפיע עליהם (להפנות לדפי העבודה, ואולי גירסה חדשה) · ולסיום: הברית עצמה נקראת אף היא קשת · המקורות עדיין חסרים בטיוטה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תהיה עסוק!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אחרי התיבה מתברך נוח בברכה שמהדהדת את ברכת אדם - "פרו ורבו… וכבשו" - ונוספת בה "ורדו": לא לפגוע באחרים תוך כדי ההשתלטות על העולם · מי שעסוק בעשייה חיובית ובפיתוח העולם מרחיק את עצמו מן התאווה · אבל פגיעה באחרים מייצרת משקעים שליליים, ואל ההרגעה והנחמה שלהם אנחנו פונים אל התאווה · ומכאן אולי צמד החטאים של דור המבול: גזל ועריות מזינים זה את זה - הפגיעה מגבירה את היצר, והיצר מגביר את הפגיעה · הערה בטיוטה: לכתוב בסגנון חרדי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למצוא שפה משותפת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שני דברים חיברו את בוני מגדל בבל: הקירבה הפיזית והשפה המשותפת - והשנייה היא המהותית, ולכן בלילת השפה היא שהפיצה אותם על פני כל הארץ · "ועתה לא ייבצר מהם כל אשר יזמו לעשות" - כוחה של אחדות גם במטרה שלילית ומוצהרת של מרידה · דורו של אחאב שלא מתו במלחמות מול דורו של דוד · קל וחומר למטרה חיובית: לא "ונעשה לנו שם" אלא "ונעשה לו יתברך שם" · הנמשל: למצוא אנשים שיש איתם שפה משותפת, שמבינים באמת מה עובר עלינו - רק כך נבנה מגדל יציב עם יסוד איתן, תרתי משמע · מקורות: מפרשים שקושרים את בלילת השפה לפיזור</w:t>
            </w: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13.11.2027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י״ג בחשוון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לך לך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מלחמה על הכל! / תן לי הנפש!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ארבעת המלכים מכים ומשמידים בדרכם למלחמה עוד עמים רבים - וכך נוהגת התאווה: היא אינה מסתפקת בתחום הנפילה עצמה אלא מכה "על הדרך" בכל שאר תחומי החיים - עבודת ה', קשרים עם חברים ובני משפחה, תפקוד בעבודה, סדר יום תקין (אפשר להיעזר בדף "לדייק את הלמה שלך") · בולט אצל מכורים, אבל גם מתמודדים "רגילים" שיתבוננו לעומק ימצאו זאת אצלם במידה כזו או אחרת · הסיפור על החבר מ-AA שחשב שהוא מניח בקופה רק את מחיר המשקה, ומאוחר יותר הבין שהניח שם את העבודה, המשפחה, הבריאות ואת עצם החיים · ונקודה אחת שעליה התאווה נאבקת במיוחד: מלך סדום - מקום וסמל התאווה - אומר לאברהם איש החסד "תן לי הנפש והרכוש קח לך", וזה מה שהיצר באמת רוצה: את הזהות וההשתייכות שלנו · (ראו גם מה שנכתב בפרשת וירא תשפ"ז)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לפי מה אתה בוחר?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לפי דברי חז"ל, לוט בחר בסדום מטעם מסוים · גם בבחירות היומיומיות שלנו - היכן לעבוד, להסתובב, לנסוע, לבלות, לגור - אנחנו צריכים להיות כנים לגבי המניעים · לשאול את עצמנו לפני: "האם באמת יש לי סיבה טובה להיות שם?", ואם כן - מה האתגרים הצפויים לי שם וכיצד אני מתכוון להתמודד איתם · קשור מאוד לכלי התכנון: לא "ליפול" לתוך התמודדות אלא להיערך אליה מראש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אל תהיה זקן! / אני כבר מבוגר!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גם בגיל מבוגר אפשר לעשות שינוי · אברהם הולך לארץ כנען בגיל 75, רבי עקיבא מתחיל בגיל 40 · דברי רבי נחמן על כך שאסור להיות זקן · מתאים גם לפרשת וילך, על משה רבנו ש"לא כהתה עינו ולא נס ליחה" - הנקודה הפנימית שבכל אחד, זו שמוציאה אותו ממצרים · הרעיון רשום בבנק פעמיים, ללך לך ולוילך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ללכת עד הסוף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גם תרח התכוון להגיע לארץ כנען, ונשבר באמצע הדרך (סוף הפרשה הקודמת) · וזו בדיוק המעלה של אברהם, שאנחנו צאצאיו הגשמיים והרוחניים: הוא הלך עם זה עד הסוף · כותרת וכיוון בלבד, רעיון קצר</w:t>
            </w:r>
          </w:p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5. </w:t>
            </w: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לטובתך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הסיפור על רבי משה לייב מסאסוב ב"טיב הסיפורים" (הייחוס מסומן בטיוטה בסימן שאלה), והלקח לעניינו · ומכאן דרשה ב"להנאתך ולטובתך" - שתהיה נאה ומתוקן בעניין הזה, ותוכל יותר להיטיב ולהועיל לאחרים שמתמודדים בו</w:t>
            </w: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20.11.2027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כ׳ בחשוון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וירא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27.11.2027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כ״ז בחשוון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חיי שרה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4.12.2027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ד׳ בכסלו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תולדות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11.12.2027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י״א בכסלו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ויצא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18.12.2027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י״ח בכסלו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וישלח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אל תברח מזה!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כותרת וכיוון בלבד - בטיוטה מופנה לרשב"ם על הפרשה</w:t>
            </w: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25.12.2027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כ״ה בכסלו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וישב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חנוכה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1.1.2028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ב׳ בטבת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מקץ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חנוכה · זאת חנוכה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8.1.2028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ט׳ בטבת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ויגש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15.1.2028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ט״ז בטבת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ויחי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22.1.2028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כ״ג בטבת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שמות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29.1.2028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א׳ בשבט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וארא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5.2.2028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ח׳ בשבט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79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12.2.2028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ט״ו בשבט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בשלח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שירה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19.2.2028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כ״ב בשבט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יתרו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26.2.2028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כ״ט בשבט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משפטים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שקלים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4.3.2028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ו׳ באדר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תרומה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11.3.2028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י״ג באדר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תצוה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זכור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18.3.2028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כ׳ באדר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כי תשא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פרה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25.3.2028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כ״ז באדר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ויקהל-פקודי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החודש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1.4.2028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ה׳ בניסן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ויקרא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8.4.2028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י״ב בניסן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צו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הגדול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15.4.2028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י״ט בניסן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חול המועד פסח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22.4.2028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כ״ו בניסן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שמיני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29.4.2028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ג׳ באייר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תזריע-מצורע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6.5.2028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י׳ באייר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אחרי מות-קדושים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13.5.2028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י״ז באייר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אמור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20.5.2028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כ״ד באייר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בהר-בחוקותי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27.5.2028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ב׳ בסיוון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במדבר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3.6.2028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ט׳ בסיוון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נשא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10.6.2028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ט״ז בסיוון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בהעלותך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17.6.2028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כ״ג בסיוון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שלח לך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24.6.2028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ל׳ בסיוון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קורח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1.7.2028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ז׳ בתמוז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חוקת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8.7.2028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י״ד בתמוז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בלק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תקום כמו אריה!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"הן עם כלביא יקום" · דעת זקנים - האויב חשב להשפיל אותו והוא קם · לקום מיד אחרי הנפילה: נפילה שוברת את הרוח ויש נטייה לדשדש בה ולהפוך אותה למפולת, לשרשרת נפילות, ורק אז לחזור למסלול · ההסבר העמוק של הרב חרל"פ על "עבירה גוררת עבירה" - זה לא חייב להיות ככה · ראב"ע - עם ישראל יוצא מיד למלחמת מדיין, ההתנערות של האריה שהותקף · הנצי"ב - הרוממות והכבוד העצמי של האריה לא נותנים לו להישאר בנפילה</w:t>
            </w: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101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15.7.2028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כ״א בתמוז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פינחס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102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22.7.2028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כ״ח בתמוז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מטות-מסעי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103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29.7.2028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ו׳ באב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דברים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חזון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104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5.8.2028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י״ג באב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ואתחנן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שבת נחמו</w:t>
            </w: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105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12.8.2028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כ׳ באב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עקב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106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19.8.2028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כ״ז באב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ראה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107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26.8.2028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ד׳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שופטים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108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2.9.2028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י״א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כי תצא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109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9.9.2028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י״ח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כי תבוא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  <w:tr>
        <w:tc>
          <w:tcPr>
            <w:tcW w:w="6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110</w:t>
            </w:r>
          </w:p>
        </w:tc>
        <w:tc>
          <w:tcPr>
            <w:tcW w:w="115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16.9.2028</w:t>
            </w:r>
          </w:p>
        </w:tc>
        <w:tc>
          <w:tcPr>
            <w:tcW w:w="15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כ״ה באלול</w:t>
            </w:r>
          </w:p>
        </w:tc>
        <w:tc>
          <w:tcPr>
            <w:tcW w:w="22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פרשת ניצבים-וילך</w:t>
            </w:r>
          </w:p>
        </w:tc>
        <w:tc>
          <w:tcPr>
            <w:tcW w:w="2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  <w:r>
              <w:rPr>
                <w:rFonts w:ascii="Arial" w:hAnsi="Arial" w:cs="Arial"/>
                <w:b/>
                <w:bCs/>
                <w:sz w:val="21"/>
                <w:szCs w:val="21"/>
                <w:rtl/>
                <w:lang w:bidi="he-IL"/>
              </w:rPr>
              <w:t xml:space="preserve">אל תהיה זקן! / אני כבר מבוגר!</w:t>
            </w:r>
            <w:r>
              <w:rPr>
                <w:rFonts w:ascii="Arial" w:hAnsi="Arial" w:cs="Arial"/>
                <w:sz w:val="21"/>
                <w:szCs w:val="21"/>
                <w:rtl/>
                <w:lang w:bidi="he-IL"/>
              </w:rPr>
              <w:t xml:space="preserve"> — גם בגיל מבוגר אפשר לעשות שינוי · אברהם הולך לארץ כנען בגיל 75, רבי עקיבא מתחיל בגיל 40 · דברי רבי נחמן על כך שאסור להיות זקן · מתאים גם לפרשת וילך, על משה רבנו ש"לא כהתה עינו ולא נס ליחה" - הנקודה הפנימית שבכל אחד, זו שמוציאה אותו ממצרים · הרעיון רשום בבנק פעמיים, ללך לך ולוילך</w:t>
            </w:r>
          </w:p>
        </w:tc>
        <w:tc>
          <w:tcPr>
            <w:tcW w:w="1700" w:type="dxa"/>
            <w:vAlign w:val="top"/>
          </w:tcPr>
          <w:p>
            <w:pPr>
              <w:bidi/>
              <w:jc w:val="right"/>
              <w:spacing w:after="40" w:line="276" w:lineRule="auto"/>
              <w:rPr>
                <w:rtl/>
              </w:rPr>
            </w:pPr>
          </w:p>
        </w:tc>
      </w:tr>
    </w:tbl>
    <w:p>
      <w:pPr>
        <w:bidi/>
        <w:spacing w:after="0"/>
      </w:pPr>
    </w:p>
    <w:sectPr>
      <w:pgSz w:w="11906" w:h="16838"/>
      <w:pgMar w:top="1000" w:right="1000" w:bottom="1000" w:left="1000" w:gutter="0"/>
      <w:bidi/>
    </w:sectPr>
  </w:body>
</w:document>
</file>

<file path=word/settings.xml><?xml version="1.0" encoding="utf-8"?>
<w:settings xmlns:w="http://schemas.openxmlformats.org/wordprocessingml/2006/main">
  <w:themeFontLang w:val="en-US" w:bidi="he-IL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bidi="he-IL"/>
      </w:rPr>
    </w:rPrDefault>
    <w:pPrDefault>
      <w:pPr>
        <w:bidi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