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jc w:val="center"/>
      </w:pPr>
      <w:r>
        <w:rPr>
          <w:rFonts w:ascii="Times New Roman" w:cs="Times New Roman" w:eastAsia="Times New Roman" w:hAnsi="Times New Roman"/>
          <w:b/>
          <w:bCs/>
          <w:sz w:val="32"/>
          <w:szCs w:val="32"/>
        </w:rPr>
        <w:t xml:space="preserve">CHAPTER 3</w:t>
      </w:r>
    </w:p>
    <w:p>
      <w:pPr>
        <w:spacing w:after="640" w:before="0"/>
        <w:jc w:val="center"/>
      </w:pPr>
      <w:r>
        <w:rPr>
          <w:rFonts w:ascii="Times New Roman" w:cs="Times New Roman" w:eastAsia="Times New Roman" w:hAnsi="Times New Roman"/>
          <w:b/>
          <w:bCs/>
          <w:sz w:val="28"/>
          <w:szCs w:val="28"/>
        </w:rPr>
        <w:t xml:space="preserve">SYSTEM ANALYSIS AND DESIGN</w:t>
      </w:r>
    </w:p>
    <w:p>
      <w:pPr>
        <w:pStyle w:val="Heading1"/>
        <w:spacing w:after="160" w:before="300"/>
      </w:pPr>
      <w:r>
        <w:rPr>
          <w:rFonts w:ascii="Times New Roman" w:cs="Times New Roman" w:eastAsia="Times New Roman" w:hAnsi="Times New Roman"/>
          <w:b/>
          <w:bCs/>
          <w:sz w:val="28"/>
          <w:szCs w:val="28"/>
        </w:rPr>
        <w:t xml:space="preserve">3.1  Detailed Description of the Proposed System</w:t>
      </w:r>
    </w:p>
    <w:p>
      <w:pPr>
        <w:spacing w:after="200" w:before="0" w:line="360"/>
        <w:ind w:firstLine="720"/>
        <w:jc w:val="both"/>
      </w:pPr>
      <w:r>
        <w:rPr>
          <w:rFonts w:ascii="Times New Roman" w:cs="Times New Roman" w:eastAsia="Times New Roman" w:hAnsi="Times New Roman"/>
          <w:sz w:val="24"/>
          <w:szCs w:val="24"/>
        </w:rPr>
        <w:t xml:space="preserve">The Online Mango Sales and Management System is a comprehensive, web-based application designed to digitize and automate the complete operational lifecycle of mango commerce, from product listing and customer discovery through to order fulfillment, payment processing, and post-sale reporting. The system replaces the fragmented, manual, and geographically constrained processes identified in Chapter 2 with an integrated digital platform that connects mango sellers and buyers within a structured, secure, and highly accessible commercial environment. Built on a three-tier architecture comprising a presentation layer, a business logic layer, and a data management layer, the system is designed to be scalable, maintainable, and deployable on standard cloud hosting infrastructure, ensuring reliable availability across diverse device types and network conditions.</w:t>
      </w:r>
    </w:p>
    <w:p>
      <w:pPr>
        <w:spacing w:after="200" w:before="0" w:line="360"/>
        <w:ind w:firstLine="720"/>
        <w:jc w:val="both"/>
      </w:pPr>
      <w:r>
        <w:rPr>
          <w:rFonts w:ascii="Times New Roman" w:cs="Times New Roman" w:eastAsia="Times New Roman" w:hAnsi="Times New Roman"/>
          <w:sz w:val="24"/>
          <w:szCs w:val="24"/>
        </w:rPr>
        <w:t xml:space="preserve">The system operates through three distinct role-based interfaces serving administrators, sellers, and customers. Upon accessing the platform, users are directed to the public-facing storefront, where they may browse the mango product catalog without authentication or proceed to register and log in to unlock transactional capabilities. Registered customers interact with a personalized dashboard that displays their order history, saved addresses, payment methods, and pending reviews, while sellers access a dedicated management console providing tools for product listing creation and editing, inventory monitoring, order fulfillment, and sales analytics. The administrator interface provides overarching platform control, encompassing user account management, dispute resolution tools, content moderation, and system configuration settings.</w:t>
      </w:r>
    </w:p>
    <w:p>
      <w:pPr>
        <w:spacing w:after="200" w:before="0" w:line="360"/>
        <w:ind w:firstLine="720"/>
        <w:jc w:val="both"/>
      </w:pPr>
      <w:r>
        <w:rPr>
          <w:rFonts w:ascii="Times New Roman" w:cs="Times New Roman" w:eastAsia="Times New Roman" w:hAnsi="Times New Roman"/>
          <w:sz w:val="24"/>
          <w:szCs w:val="24"/>
        </w:rPr>
        <w:t xml:space="preserve">The product catalog module forms the commercial core of the system, enabling sellers to create detailed listings for each mango product offered. Each listing accommodates essential attributes including the mango variety such as Carabao, Alphonso, or Kent, the available weight options and corresponding unit prices, current stock quantity, geographic origin, a descriptive text field, and high-resolution product images uploaded directly to the platform. Customers browsing the catalog may apply search filters by variety, price range, seller location, and customer rating to efficiently locate products that meet their specific requirements. Product detail pages present comprehensive listing information alongside aggregated seller ratings and verified buyer reviews, providing the transparency necessary for confident purchasing decisions.</w:t>
      </w:r>
    </w:p>
    <w:p>
      <w:pPr>
        <w:spacing w:after="200" w:before="0" w:line="360"/>
        <w:ind w:firstLine="720"/>
        <w:jc w:val="both"/>
      </w:pPr>
      <w:r>
        <w:rPr>
          <w:rFonts w:ascii="Times New Roman" w:cs="Times New Roman" w:eastAsia="Times New Roman" w:hAnsi="Times New Roman"/>
          <w:sz w:val="24"/>
          <w:szCs w:val="24"/>
        </w:rPr>
        <w:t xml:space="preserve">Order processing within the system follows a fully automated workflow. Upon completing the checkout process, customers receive an immediate order confirmation notification via email and within their personal dashboard. Sellers are simultaneously notified of the incoming order and are required to confirm availability and initiate fulfillment within a defined response window. The order management module tracks each order through sequential status stages including pending, confirmed, prepared, dispatched, and delivered, with automated notifications dispatched to the customer at each stage transition. The inventory management module simultaneously deducts the ordered quantity from the seller’s available stock and triggers a low-stock alert if remaining quantity falls below the seller’s predefined threshold, ensuring that inventory records remain accurate and actionable throughout the transaction cycle.</w:t>
      </w:r>
    </w:p>
    <w:p>
      <w:pPr>
        <w:spacing w:after="200" w:before="0" w:line="360"/>
        <w:ind w:firstLine="720"/>
        <w:jc w:val="both"/>
      </w:pPr>
      <w:r>
        <w:rPr>
          <w:rFonts w:ascii="Times New Roman" w:cs="Times New Roman" w:eastAsia="Times New Roman" w:hAnsi="Times New Roman"/>
          <w:sz w:val="24"/>
          <w:szCs w:val="24"/>
        </w:rPr>
        <w:t xml:space="preserve">Payment processing is handled through an integrated payment gateway supporting credit and debit card transactions, e-wallet payments, and bank transfers within a PCI-DSS compliant environment. Upon payment confirmation, the system issues a digital receipt to the customer and updates the seller’s revenue records automatically. The reporting and analytics module aggregates transactional data to generate daily, weekly, and monthly reports on sales volume, revenue performance, top-selling products, and customer activity, providing sellers and administrators with the business intelligence necessary for informed operational decision-making. By consolidating all these functions within a single unified platform, the system directly resolves the inventory inaccuracy, order processing inefficiency, payment insecurity, market inaccessibility, and analytical deficiency identified as core problems in Chapter 2.</w:t>
      </w:r>
    </w:p>
    <w:p>
      <w:pPr>
        <w:pStyle w:val="Heading1"/>
        <w:spacing w:after="160" w:before="300"/>
      </w:pPr>
      <w:r>
        <w:rPr>
          <w:rFonts w:ascii="Times New Roman" w:cs="Times New Roman" w:eastAsia="Times New Roman" w:hAnsi="Times New Roman"/>
          <w:b/>
          <w:bCs/>
          <w:sz w:val="28"/>
          <w:szCs w:val="28"/>
        </w:rPr>
        <w:t xml:space="preserve">3.2  Understanding the System</w:t>
      </w:r>
    </w:p>
    <w:p>
      <w:pPr>
        <w:pStyle w:val="Heading2"/>
        <w:spacing w:after="120" w:before="240"/>
      </w:pPr>
      <w:r>
        <w:rPr>
          <w:rFonts w:ascii="Times New Roman" w:cs="Times New Roman" w:eastAsia="Times New Roman" w:hAnsi="Times New Roman"/>
          <w:b/>
          <w:bCs/>
          <w:sz w:val="26"/>
          <w:szCs w:val="26"/>
        </w:rPr>
        <w:t xml:space="preserve">3.2.1  User Involvement</w:t>
      </w:r>
    </w:p>
    <w:p>
      <w:pPr>
        <w:spacing w:after="200" w:before="0" w:line="360"/>
        <w:ind w:firstLine="720"/>
        <w:jc w:val="both"/>
      </w:pPr>
      <w:r>
        <w:rPr>
          <w:rFonts w:ascii="Times New Roman" w:cs="Times New Roman" w:eastAsia="Times New Roman" w:hAnsi="Times New Roman"/>
          <w:sz w:val="24"/>
          <w:szCs w:val="24"/>
        </w:rPr>
        <w:t xml:space="preserve">User involvement in the Online Mango Sales and Management System is structured to be intuitive, inclusive, and aligned with the distinct functional needs of each user category. The system employs a responsive web design approach, ensuring that the interface adapts seamlessly to desktop computers, tablets, and smartphones, thereby accommodating users regardless of their preferred device. All interactive elements are designed in accordance with established usability principles, featuring clearly labeled navigation menus, contextual help text, and consistent visual language that minimizes the learning curve for users with varying levels of digital literacy.</w:t>
      </w:r>
    </w:p>
    <w:p>
      <w:pPr>
        <w:spacing w:after="200" w:before="0" w:line="360"/>
        <w:ind w:firstLine="720"/>
        <w:jc w:val="both"/>
      </w:pPr>
      <w:r>
        <w:rPr>
          <w:rFonts w:ascii="Times New Roman" w:cs="Times New Roman" w:eastAsia="Times New Roman" w:hAnsi="Times New Roman"/>
          <w:sz w:val="24"/>
          <w:szCs w:val="24"/>
        </w:rPr>
        <w:t xml:space="preserve">Customer users interact with the system primarily through the storefront interface, beginning with a self-service registration process requiring only a name, email address, and password to create an account. Once registered, customers engage with the product catalog, apply search filters, add items to their shopping cart, proceed through a guided checkout workflow, and monitor their order status through a personal dashboard. Post-delivery, customers are prompted to submit product reviews and ratings, contributing to the platform’s transparency and quality assurance framework. Seller users engage more extensively with the platform, utilizing the seller console to manage product listings, respond to orders, monitor inventory levels, and review generated analytics reports. The seller registration process includes an additional business verification step to ensure platform integrity.</w:t>
      </w:r>
    </w:p>
    <w:p>
      <w:pPr>
        <w:spacing w:after="200" w:before="0" w:line="360"/>
        <w:ind w:firstLine="720"/>
        <w:jc w:val="both"/>
      </w:pPr>
      <w:r>
        <w:rPr>
          <w:rFonts w:ascii="Times New Roman" w:cs="Times New Roman" w:eastAsia="Times New Roman" w:hAnsi="Times New Roman"/>
          <w:sz w:val="24"/>
          <w:szCs w:val="24"/>
        </w:rPr>
        <w:t xml:space="preserve">The system is designed to accommodate users with limited technical proficiency through descriptive error messages, step-by-step guided workflows, and contextual tooltips that explain system functions in plain language. Accessibility considerations include sufficient color contrast ratios, keyboard navigability, and compatibility with standard screen-reading assistive technologies, ensuring the platform remains usable by individuals with visual impairments or other accessibility needs.</w:t>
      </w:r>
    </w:p>
    <w:p>
      <w:pPr>
        <w:pStyle w:val="Heading2"/>
        <w:spacing w:after="120" w:before="240"/>
      </w:pPr>
      <w:r>
        <w:rPr>
          <w:rFonts w:ascii="Times New Roman" w:cs="Times New Roman" w:eastAsia="Times New Roman" w:hAnsi="Times New Roman"/>
          <w:b/>
          <w:bCs/>
          <w:sz w:val="26"/>
          <w:szCs w:val="26"/>
        </w:rPr>
        <w:t xml:space="preserve">3.2.2  Stakeholders</w:t>
      </w:r>
    </w:p>
    <w:p>
      <w:pPr>
        <w:spacing w:after="200" w:before="0" w:line="360"/>
        <w:ind w:firstLine="720"/>
        <w:jc w:val="both"/>
      </w:pPr>
      <w:r>
        <w:rPr>
          <w:rFonts w:ascii="Times New Roman" w:cs="Times New Roman" w:eastAsia="Times New Roman" w:hAnsi="Times New Roman"/>
          <w:sz w:val="24"/>
          <w:szCs w:val="24"/>
        </w:rPr>
        <w:t xml:space="preserve">The stakeholders of the Online Mango Sales and Management System comprise all individuals, groups, and organizations with a direct or indirect interest in the development, deployment, and operation of the platform. Each stakeholder group holds distinct responsibilities and derives specific benefits from the system.</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System Administrator – The system administrator is responsible for the overall governance and operational integrity of the platform. Administrator responsibilities include managing user accounts across all roles, reviewing and approving seller registrations, moderating product listings for compliance with platform standards, overseeing dispute resolution between buyers and sellers, configuring system settings and delivery zone parameters, and monitoring platform-wide performance metrics. The administrator possesses the highest level of access and authority within the system.</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Mango Sellers and Vendors – Registered sellers are the primary suppliers of goods within the platform ecosystem. Their responsibilities encompass creating and maintaining accurate product listings, managing inventory levels and replenishment schedules, processing and fulfilling customer orders within defined timeframes, updating order status at each fulfillment stage, and maintaining responsive communication with buyers. Sellers are accountable for the quality and accuracy of their product representations on the platform.</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Customers and Buyers – Customers are the end consumers of mango products offered through the platform. Their engagement includes browsing and searching the product catalog, placing and managing orders, completing electronic payments, tracking delivery progress, and submitting post-purchase reviews and ratings. Both retail consumers purchasing small quantities for personal use and wholesale buyers procuring larger volumes for resale or food service purposes are served by the platform.</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Delivery and Logistics Personnel – While logistics services may be fulfilled by third-party courier partners, delivery personnel interact with the system indirectly through order dispatch notifications and status update integrations. Ensuring timely and accurate delivery is a critical component of the overall customer experience facilitated by the platform.</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Farm Cooperatives and Agricultural Organizations – Collective agricultural entities that aggregate the produce of multiple individual farmers represent an important seller category. These organizations benefit from the system’s multi-product listing capabilities and bulk order management tools, designed to accommodate the larger transaction volumes typical of cooperative operations.</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System Developers and Maintainers – The development team responsible for building, testing, and deploying the system, as well as technical staff responsible for ongoing maintenance, security patching, and feature enhancement, constitute a key stakeholder group whose expertise directly determines the quality and reliability of the platform.</w:t>
      </w:r>
    </w:p>
    <w:p>
      <w:pPr>
        <w:pStyle w:val="Heading2"/>
        <w:spacing w:after="120" w:before="240"/>
      </w:pPr>
      <w:r>
        <w:rPr>
          <w:rFonts w:ascii="Times New Roman" w:cs="Times New Roman" w:eastAsia="Times New Roman" w:hAnsi="Times New Roman"/>
          <w:b/>
          <w:bCs/>
          <w:sz w:val="26"/>
          <w:szCs w:val="26"/>
        </w:rPr>
        <w:t xml:space="preserve">3.2.3  Domain</w:t>
      </w:r>
    </w:p>
    <w:p>
      <w:pPr>
        <w:spacing w:after="200" w:before="0" w:line="360"/>
        <w:ind w:firstLine="720"/>
        <w:jc w:val="both"/>
      </w:pPr>
      <w:r>
        <w:rPr>
          <w:rFonts w:ascii="Times New Roman" w:cs="Times New Roman" w:eastAsia="Times New Roman" w:hAnsi="Times New Roman"/>
          <w:sz w:val="24"/>
          <w:szCs w:val="24"/>
        </w:rPr>
        <w:t xml:space="preserve">The Online Mango Sales and Management System operates within the intersection of two primary domains: agricultural e-commerce and supply chain management technology. The agricultural sector, specifically the mango production and distribution sub-sector, constitutes the commercial domain within which the system is deployed, while the information technology domain provides the technical infrastructure and methodological frameworks through which the system is designed and built. The system is relevant to the broader agri-tech industry, which encompasses the application of digital technologies to improve the efficiency, transparency, and productivity of agricultural value chains from production through consumption.</w:t>
      </w:r>
    </w:p>
    <w:p>
      <w:pPr>
        <w:spacing w:after="200" w:before="0" w:line="360"/>
        <w:ind w:firstLine="720"/>
        <w:jc w:val="both"/>
      </w:pPr>
      <w:r>
        <w:rPr>
          <w:rFonts w:ascii="Times New Roman" w:cs="Times New Roman" w:eastAsia="Times New Roman" w:hAnsi="Times New Roman"/>
          <w:sz w:val="24"/>
          <w:szCs w:val="24"/>
        </w:rPr>
        <w:t xml:space="preserve">Within the agricultural e-commerce domain, the system addresses the specific operational context of perishable commodity trading, where accurate inventory management, rapid order processing, and reliable logistics coordination are of heightened importance compared to non-perishable goods commerce. The domain also encompasses the regulatory environment governing food product sales, including requirements for accurate product labeling, weight measurement standards, and food safety compliance, all of which are reflected in the system’s product listing and management features. The relevance of the proposed solution within this domain is further established by the growing global trend toward direct-to-consumer agricultural commerce and the demonstrated commercial success of specialized agricultural e-commerce platforms in analogous markets worldwide.</w:t>
      </w:r>
    </w:p>
    <w:p>
      <w:pPr>
        <w:pStyle w:val="Heading2"/>
        <w:spacing w:after="120" w:before="240"/>
      </w:pPr>
      <w:r>
        <w:rPr>
          <w:rFonts w:ascii="Times New Roman" w:cs="Times New Roman" w:eastAsia="Times New Roman" w:hAnsi="Times New Roman"/>
          <w:b/>
          <w:bCs/>
          <w:sz w:val="26"/>
          <w:szCs w:val="26"/>
        </w:rPr>
        <w:t xml:space="preserve">3.2.4  Need of the System</w:t>
      </w:r>
    </w:p>
    <w:p>
      <w:pPr>
        <w:spacing w:after="200" w:before="0" w:line="360"/>
        <w:ind w:firstLine="720"/>
        <w:jc w:val="both"/>
      </w:pPr>
      <w:r>
        <w:rPr>
          <w:rFonts w:ascii="Times New Roman" w:cs="Times New Roman" w:eastAsia="Times New Roman" w:hAnsi="Times New Roman"/>
          <w:sz w:val="24"/>
          <w:szCs w:val="24"/>
        </w:rPr>
        <w:t xml:space="preserve">The need for the Online Mango Sales and Management System is established at three mutually reinforcing levels: business, operational, and technological. At the business level, mango vendors require a digital platform that expands their market reach beyond local geographic boundaries, provides a professional and trustworthy commercial presence, and generates the business intelligence necessary to support strategic pricing and inventory decisions. The absence of such a platform constrains the revenue potential of mango businesses and exposes them to competitive disadvantage relative to agricultural enterprises that have successfully adopted digital commerce models.</w:t>
      </w:r>
    </w:p>
    <w:p>
      <w:pPr>
        <w:spacing w:after="200" w:before="0" w:line="360"/>
        <w:ind w:firstLine="720"/>
        <w:jc w:val="both"/>
      </w:pPr>
      <w:r>
        <w:rPr>
          <w:rFonts w:ascii="Times New Roman" w:cs="Times New Roman" w:eastAsia="Times New Roman" w:hAnsi="Times New Roman"/>
          <w:sz w:val="24"/>
          <w:szCs w:val="24"/>
        </w:rPr>
        <w:t xml:space="preserve">At the operational level, the system is needed to eliminate the inefficiencies, errors, and costs associated with manual order processing, informal inventory management, and cash-based payment collection, as documented in Chapter 2. The automation of core operational functions is expected to reduce order processing time substantially, improve inventory accuracy, eliminate cash-handling risks, and free seller personnel for higher-value activities. The provision of automated reporting capabilities addresses the critical absence of analytical infrastructure in the current system, enabling data-driven decision-making rather than reliance on intuition and incomplete records.</w:t>
      </w:r>
    </w:p>
    <w:p>
      <w:pPr>
        <w:spacing w:after="200" w:before="0" w:line="360"/>
        <w:ind w:firstLine="720"/>
        <w:jc w:val="both"/>
      </w:pPr>
      <w:r>
        <w:rPr>
          <w:rFonts w:ascii="Times New Roman" w:cs="Times New Roman" w:eastAsia="Times New Roman" w:hAnsi="Times New Roman"/>
          <w:sz w:val="24"/>
          <w:szCs w:val="24"/>
        </w:rPr>
        <w:t xml:space="preserve">At the technological level, the system leverages the full potential of modern web development frameworks, cloud hosting services, and payment gateway integrations to deliver a secure, scalable, and performant platform that the existing manual approaches are fundamentally incapable of providing. The expected benefits following implementation include increased sales revenue through expanded market reach, reduced post-harvest losses through improved inventory management, enhanced customer satisfaction through a streamlined purchasing experience, and improved financial accountability through automated transaction recording and reporting.</w:t>
      </w:r>
    </w:p>
    <w:p>
      <w:pPr>
        <w:pStyle w:val="Heading1"/>
        <w:spacing w:after="160" w:before="300"/>
      </w:pPr>
      <w:r>
        <w:rPr>
          <w:rFonts w:ascii="Times New Roman" w:cs="Times New Roman" w:eastAsia="Times New Roman" w:hAnsi="Times New Roman"/>
          <w:b/>
          <w:bCs/>
          <w:sz w:val="28"/>
          <w:szCs w:val="28"/>
        </w:rPr>
        <w:t xml:space="preserve">3.3  Requirements Engineering</w:t>
      </w:r>
    </w:p>
    <w:p>
      <w:pPr>
        <w:pStyle w:val="Heading2"/>
        <w:spacing w:after="120" w:before="240"/>
      </w:pPr>
      <w:r>
        <w:rPr>
          <w:rFonts w:ascii="Times New Roman" w:cs="Times New Roman" w:eastAsia="Times New Roman" w:hAnsi="Times New Roman"/>
          <w:b/>
          <w:bCs/>
          <w:sz w:val="26"/>
          <w:szCs w:val="26"/>
        </w:rPr>
        <w:t xml:space="preserve">3.3.1  Functional Requirements</w:t>
      </w:r>
    </w:p>
    <w:p>
      <w:pPr>
        <w:spacing w:after="200" w:before="0" w:line="360"/>
        <w:ind w:firstLine="720"/>
        <w:jc w:val="both"/>
      </w:pPr>
      <w:r>
        <w:rPr>
          <w:rFonts w:ascii="Times New Roman" w:cs="Times New Roman" w:eastAsia="Times New Roman" w:hAnsi="Times New Roman"/>
          <w:sz w:val="24"/>
          <w:szCs w:val="24"/>
        </w:rPr>
        <w:t xml:space="preserve">Functional requirements define the specific behaviors, capabilities, and operations that the Online Mango Sales and Management System must perform to fulfill its intended purpose. The following requirements have been identified through stakeholder analysis, domain review, and examination of the problem statements established in preceding chapters.</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User Registration and Account Management – The system shall provide a self-service registration interface through which customers and sellers can create authenticated accounts by supplying their full name, email address, contact number, and a secure password. The system shall validate all input fields, enforce password complexity requirements, and send an email verification link upon registration. Users shall be able to update profile information, manage saved delivery addresses, and change passwords through a dedicated account settings page.</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Role-Based Login Authentication – The system shall implement a secure login mechanism that authenticates users against stored credentials using bcrypt password hashing and issues a session token upon successful verification. Role-based access control shall restrict access to administrative, seller, and customer interfaces based on the authenticated user’s assigned role. Accounts shall be temporarily locked following five consecutive failed login attempts to prevent brute-force attacks.</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Mango Product Listing and Catalog Management – Registered sellers shall be able to create, edit, activate, and deactivate product listings through a structured form capturing the mango variety, weight options, price per unit weight, stock quantity, product origin, descriptive text, and up to five product images. A publicly accessible product catalog shall present all active listings in a browsable, filterable, and searchable interface.</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Shopping Cart and Checkout Workflow – The system shall provide customers with a persistent shopping cart that retains selected items across sessions. The checkout workflow shall guide customers through delivery address selection, shipping method selection, order summary review, and payment method selection in a clearly labeled sequential interface, displaying the complete order total before payment confirmation.</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Online Payment Processing – The system shall integrate with a designated payment gateway to process credit card, debit card, and e-wallet transactions securely. Upon successful payment, a digital receipt shall be generated and delivered to the customer’s registered email address, and the seller’s revenue records shall be updated automatically. Payment failure scenarios shall be handled gracefully with user notification and retry options.</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Order Management and Status Tracking – The system shall maintain a complete order management module through which sellers can view, confirm, and update fulfillment status for all incoming orders. Status transitions shall trigger automated email and in-system notifications to the corresponding customer. Customers shall be able to view their complete order history and the current status of all active orders through their dashboard.</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Real-Time Inventory Management – The system shall automatically deduct sold quantities from the corresponding product listing’s available stock upon order confirmation and provide sellers with a real-time view of current inventory levels. Sellers shall be able to configure a low-stock threshold per product, and automated notifications shall be generated when stock levels fall at or below the defined threshold.</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Automated Sales Reporting and Analytics – The system shall generate automated reports summarizing sales volume, revenue totals, top-selling products, and order fulfillment rates over user-selectable periods including daily, weekly, and monthly intervals. Reports shall be accessible through the seller dashboard and administrator interface, and exportable in PDF and CSV formats.</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Product Reviews and Ratings System – Verified buyers whose orders have been marked as delivered shall be permitted to submit a star rating from one to five and an accompanying written review for each purchased product. Reviews shall be displayed on the corresponding product listing page and shall contribute to the seller’s aggregate platform rating. Sellers shall be permitted to submit a single written response to each customer review.</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Search, Filter, and Sort Functionality – A full-text search function shall enable customers to locate products by keyword, variety name, or seller name. Advanced filters shall allow narrowing results by price range, mango variety, seller location, and minimum rating. Products shall be sortable by price, rating, and listing date.</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Administrator Dashboard and Platform Management – A comprehensive administrative dashboard shall enable the administrator to view platform-wide statistics, manage user accounts, approve seller registrations, moderate product listings, and access all order and transaction records. The administrator shall have authority to suspend or permanently deactivate user accounts for policy violations.</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Email and SMS Notification Services – The system shall integrate with a communication API to dispatch automated notifications for key events including order placement confirmation, order status updates, payment receipts, low-stock alerts, and account security events such as password changes. Notification preferences shall be configurable by each user.</w:t>
      </w:r>
    </w:p>
    <w:p>
      <w:pPr>
        <w:pStyle w:val="Heading2"/>
        <w:spacing w:after="120" w:before="240"/>
      </w:pPr>
      <w:r>
        <w:rPr>
          <w:rFonts w:ascii="Times New Roman" w:cs="Times New Roman" w:eastAsia="Times New Roman" w:hAnsi="Times New Roman"/>
          <w:b/>
          <w:bCs/>
          <w:sz w:val="26"/>
          <w:szCs w:val="26"/>
        </w:rPr>
        <w:t xml:space="preserve">3.3.2  Non-Functional Requirements</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Security – The system shall enforce HTTPS encryption across all pages and data transmissions. All passwords shall be stored using bcrypt hashing with an appropriate work factor. Sensitive payment data shall be managed exclusively by the PCI-DSS compliant payment gateway rather than stored on the platform’s own servers. SQL injection prevention shall be implemented through parameterized queries, and cross-site scripting protection through input sanitization and output encoding.</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Reliability – The system shall target a minimum uptime of 99.5% on an annualized basis. Automated database backup processes shall execute daily, with copies retained for a minimum of thirty days to support data recovery. Graceful error handling shall be implemented for all anticipated failure scenarios, providing users with informative messages rather than exposing raw system errors.</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Performance – The system shall achieve a maximum page load time of three seconds or less under normal operating conditions with up to five hundred concurrent user sessions. Database queries shall be optimized through appropriate indexing strategies, and server-side caching shall be implemented for frequently accessed catalog data to minimize response times.</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Scalability – The system architecture shall support horizontal scaling through deployment of additional server instances to accommodate growth in users, product listings, and concurrent transactions without requiring architectural redesign. The database schema shall be designed with normalized table structures and indexed foreign key relationships to efficiently handle expanding data volumes.</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Maintainability – The codebase shall be organized according to the Model-View-Controller architectural pattern to ensure clear separation of concerns. Comprehensive inline code documentation and an external technical reference document shall be maintained to support future development activities. An audit log shall record all significant system events to facilitate debugging and compliance.</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Usability – The system interface shall adhere to established web usability principles, providing consistent navigation, clear call-to-action elements, and informative feedback messages throughout all user workflows. User acceptance testing with representative stakeholders shall be conducted to validate and refine the interface design prior to final deployment.</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Availability and Compatibility – The system shall be accessible through all major contemporary web browsers including Google Chrome, Mozilla Firefox, Microsoft Edge, and Safari, without requiring browser plugins. Responsive design shall ensure full functional compatibility across screen resolutions from 320 pixels to 2560 pixels in width, encompassing mobile, tablet, and desktop environments.</w:t>
      </w:r>
    </w:p>
    <w:p>
      <w:pPr>
        <w:pStyle w:val="Heading2"/>
        <w:spacing w:after="120" w:before="240"/>
      </w:pPr>
      <w:r>
        <w:rPr>
          <w:rFonts w:ascii="Times New Roman" w:cs="Times New Roman" w:eastAsia="Times New Roman" w:hAnsi="Times New Roman"/>
          <w:b/>
          <w:bCs/>
          <w:sz w:val="26"/>
          <w:szCs w:val="26"/>
        </w:rPr>
        <w:t xml:space="preserve">3.3.3  Requirements Baseline</w:t>
      </w:r>
    </w:p>
    <w:p>
      <w:pPr>
        <w:spacing w:after="160" w:before="0" w:line="360"/>
        <w:jc w:val="both"/>
      </w:pPr>
      <w:r>
        <w:rPr>
          <w:rFonts w:ascii="Times New Roman" w:cs="Times New Roman" w:eastAsia="Times New Roman" w:hAnsi="Times New Roman"/>
          <w:sz w:val="24"/>
          <w:szCs w:val="24"/>
        </w:rPr>
        <w:t xml:space="preserve">The requirements baseline represents the formally approved and finalized set of system requirements governing development of Version 1.0 of the Online Mango Sales and Management System. Table 3.1 presents all identified requirements categorized by type and prioritized according to their criticality to core system functionality.</w:t>
      </w:r>
    </w:p>
    <w:p>
      <w:pPr>
        <w:spacing w:after="140" w:before="0"/>
      </w:pPr>
      <w:r>
        <w:t xml:space="preserve"/>
      </w:r>
    </w:p>
    <w:p>
      <w:pPr>
        <w:spacing w:after="100" w:before="0"/>
        <w:jc w:val="center"/>
      </w:pPr>
      <w:r>
        <w:rPr>
          <w:rFonts w:ascii="Times New Roman" w:cs="Times New Roman" w:eastAsia="Times New Roman" w:hAnsi="Times New Roman"/>
          <w:b/>
          <w:bCs/>
          <w:i/>
          <w:iCs/>
          <w:sz w:val="22"/>
          <w:szCs w:val="22"/>
        </w:rPr>
        <w:t xml:space="preserve">Table 3.1 – Requirements Baseline for Version 1.0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00"/>
            <w:tcBorders>
              <w:top w:val="single" w:color="000000" w:sz="6"/>
              <w:left w:val="single" w:color="000000" w:sz="6"/>
              <w:bottom w:val="single" w:color="000000" w:sz="6"/>
              <w:right w:val="single" w:color="000000" w:sz="6"/>
            </w:tcBorders>
            <w:shd w:fill="2E7D32" w:color="2E7D32" w:val="solid"/>
            <w:vAlign w:val="center"/>
          </w:tcPr>
          <w:p>
            <w:pPr>
              <w:jc w:val="center"/>
            </w:pPr>
            <w:r>
              <w:rPr>
                <w:rFonts w:ascii="Times New Roman" w:cs="Times New Roman" w:eastAsia="Times New Roman" w:hAnsi="Times New Roman"/>
                <w:b/>
                <w:bCs/>
                <w:color w:val="FFFFFF"/>
                <w:sz w:val="20"/>
                <w:szCs w:val="20"/>
              </w:rPr>
              <w:t xml:space="preserve">Req. ID</w:t>
            </w:r>
          </w:p>
        </w:tc>
        <w:tc>
          <w:tcPr>
            <w:tcW w:type="dxa" w:w="4400"/>
            <w:tcBorders>
              <w:top w:val="single" w:color="000000" w:sz="6"/>
              <w:left w:val="single" w:color="000000" w:sz="6"/>
              <w:bottom w:val="single" w:color="000000" w:sz="6"/>
              <w:right w:val="single" w:color="000000" w:sz="6"/>
            </w:tcBorders>
            <w:shd w:fill="2E7D32" w:color="2E7D32" w:val="solid"/>
            <w:vAlign w:val="center"/>
          </w:tcPr>
          <w:p>
            <w:pPr>
              <w:jc w:val="center"/>
            </w:pPr>
            <w:r>
              <w:rPr>
                <w:rFonts w:ascii="Times New Roman" w:cs="Times New Roman" w:eastAsia="Times New Roman" w:hAnsi="Times New Roman"/>
                <w:b/>
                <w:bCs/>
                <w:color w:val="FFFFFF"/>
                <w:sz w:val="20"/>
                <w:szCs w:val="20"/>
              </w:rPr>
              <w:t xml:space="preserve">Requirement Description</w:t>
            </w:r>
          </w:p>
        </w:tc>
        <w:tc>
          <w:tcPr>
            <w:tcW w:type="dxa" w:w="1600"/>
            <w:tcBorders>
              <w:top w:val="single" w:color="000000" w:sz="6"/>
              <w:left w:val="single" w:color="000000" w:sz="6"/>
              <w:bottom w:val="single" w:color="000000" w:sz="6"/>
              <w:right w:val="single" w:color="000000" w:sz="6"/>
            </w:tcBorders>
            <w:shd w:fill="2E7D32" w:color="2E7D32" w:val="solid"/>
            <w:vAlign w:val="center"/>
          </w:tcPr>
          <w:p>
            <w:pPr>
              <w:jc w:val="center"/>
            </w:pPr>
            <w:r>
              <w:rPr>
                <w:rFonts w:ascii="Times New Roman" w:cs="Times New Roman" w:eastAsia="Times New Roman" w:hAnsi="Times New Roman"/>
                <w:b/>
                <w:bCs/>
                <w:color w:val="FFFFFF"/>
                <w:sz w:val="20"/>
                <w:szCs w:val="20"/>
              </w:rPr>
              <w:t xml:space="preserve">Type</w:t>
            </w:r>
          </w:p>
        </w:tc>
        <w:tc>
          <w:tcPr>
            <w:tcW w:type="dxa" w:w="1400"/>
            <w:tcBorders>
              <w:top w:val="single" w:color="000000" w:sz="6"/>
              <w:left w:val="single" w:color="000000" w:sz="6"/>
              <w:bottom w:val="single" w:color="000000" w:sz="6"/>
              <w:right w:val="single" w:color="000000" w:sz="6"/>
            </w:tcBorders>
            <w:shd w:fill="2E7D32" w:color="2E7D32" w:val="solid"/>
            <w:vAlign w:val="center"/>
          </w:tcPr>
          <w:p>
            <w:pPr>
              <w:jc w:val="center"/>
            </w:pPr>
            <w:r>
              <w:rPr>
                <w:rFonts w:ascii="Times New Roman" w:cs="Times New Roman" w:eastAsia="Times New Roman" w:hAnsi="Times New Roman"/>
                <w:b/>
                <w:bCs/>
                <w:color w:val="FFFFFF"/>
                <w:sz w:val="20"/>
                <w:szCs w:val="20"/>
              </w:rPr>
              <w:t xml:space="preserve">Priority</w:t>
            </w:r>
          </w:p>
        </w:tc>
      </w:tr>
      <w:tr>
        <w:tc>
          <w:tcPr>
            <w:tcW w:type="dxa" w:w="900"/>
            <w:tcBorders>
              <w:top w:val="single" w:color="000000" w:sz="6"/>
              <w:left w:val="single" w:color="000000" w:sz="6"/>
              <w:bottom w:val="single" w:color="000000" w:sz="6"/>
              <w:right w:val="single" w:color="000000" w:sz="6"/>
            </w:tcBorders>
            <w:shd w:fill="F1F8E9" w:color="F1F8E9" w:val="solid"/>
            <w:vAlign w:val="center"/>
          </w:tcPr>
          <w:p>
            <w:pPr>
              <w:jc w:val="center"/>
            </w:pPr>
            <w:r>
              <w:rPr>
                <w:rFonts w:ascii="Times New Roman" w:cs="Times New Roman" w:eastAsia="Times New Roman" w:hAnsi="Times New Roman"/>
                <w:sz w:val="20"/>
                <w:szCs w:val="20"/>
              </w:rPr>
              <w:t xml:space="preserve">REQ-001</w:t>
            </w:r>
          </w:p>
        </w:tc>
        <w:tc>
          <w:tcPr>
            <w:tcW w:type="dxa" w:w="4400"/>
            <w:tcBorders>
              <w:top w:val="single" w:color="000000" w:sz="6"/>
              <w:left w:val="single" w:color="000000" w:sz="6"/>
              <w:bottom w:val="single" w:color="000000" w:sz="6"/>
              <w:right w:val="single" w:color="000000" w:sz="6"/>
            </w:tcBorders>
            <w:shd w:fill="F1F8E9" w:color="F1F8E9" w:val="solid"/>
            <w:vAlign w:val="center"/>
          </w:tcPr>
          <w:p>
            <w:pPr>
              <w:jc w:val="left"/>
            </w:pPr>
            <w:r>
              <w:rPr>
                <w:rFonts w:ascii="Times New Roman" w:cs="Times New Roman" w:eastAsia="Times New Roman" w:hAnsi="Times New Roman"/>
                <w:sz w:val="20"/>
                <w:szCs w:val="20"/>
              </w:rPr>
              <w:t xml:space="preserve">User Registration &amp; Profile Management</w:t>
            </w:r>
          </w:p>
        </w:tc>
        <w:tc>
          <w:tcPr>
            <w:tcW w:type="dxa" w:w="1600"/>
            <w:tcBorders>
              <w:top w:val="single" w:color="000000" w:sz="6"/>
              <w:left w:val="single" w:color="000000" w:sz="6"/>
              <w:bottom w:val="single" w:color="000000" w:sz="6"/>
              <w:right w:val="single" w:color="000000" w:sz="6"/>
            </w:tcBorders>
            <w:shd w:fill="F1F8E9" w:color="F1F8E9" w:val="solid"/>
            <w:vAlign w:val="center"/>
          </w:tcPr>
          <w:p>
            <w:pPr>
              <w:jc w:val="center"/>
            </w:pPr>
            <w:r>
              <w:rPr>
                <w:rFonts w:ascii="Times New Roman" w:cs="Times New Roman" w:eastAsia="Times New Roman" w:hAnsi="Times New Roman"/>
                <w:sz w:val="20"/>
                <w:szCs w:val="20"/>
              </w:rPr>
              <w:t xml:space="preserve">Functional</w:t>
            </w:r>
          </w:p>
        </w:tc>
        <w:tc>
          <w:tcPr>
            <w:tcW w:type="dxa" w:w="1400"/>
            <w:tcBorders>
              <w:top w:val="single" w:color="000000" w:sz="6"/>
              <w:left w:val="single" w:color="000000" w:sz="6"/>
              <w:bottom w:val="single" w:color="000000" w:sz="6"/>
              <w:right w:val="single" w:color="000000" w:sz="6"/>
            </w:tcBorders>
            <w:shd w:fill="F1F8E9" w:color="F1F8E9" w:val="solid"/>
            <w:vAlign w:val="center"/>
          </w:tcPr>
          <w:p>
            <w:pPr>
              <w:jc w:val="center"/>
            </w:pPr>
            <w:r>
              <w:rPr>
                <w:rFonts w:ascii="Times New Roman" w:cs="Times New Roman" w:eastAsia="Times New Roman" w:hAnsi="Times New Roman"/>
                <w:b/>
                <w:bCs/>
                <w:color w:val="B71C1C"/>
                <w:sz w:val="20"/>
                <w:szCs w:val="20"/>
              </w:rPr>
              <w:t xml:space="preserve">High</w:t>
            </w:r>
          </w:p>
        </w:tc>
      </w:tr>
      <w:tr>
        <w:tc>
          <w:tcPr>
            <w:tcW w:type="dxa" w:w="9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sz w:val="20"/>
                <w:szCs w:val="20"/>
              </w:rPr>
              <w:t xml:space="preserve">REQ-002</w:t>
            </w:r>
          </w:p>
        </w:tc>
        <w:tc>
          <w:tcPr>
            <w:tcW w:type="dxa" w:w="4400"/>
            <w:tcBorders>
              <w:top w:val="single" w:color="000000" w:sz="6"/>
              <w:left w:val="single" w:color="000000" w:sz="6"/>
              <w:bottom w:val="single" w:color="000000" w:sz="6"/>
              <w:right w:val="single" w:color="000000" w:sz="6"/>
            </w:tcBorders>
            <w:vAlign w:val="center"/>
          </w:tcPr>
          <w:p>
            <w:pPr>
              <w:jc w:val="left"/>
            </w:pPr>
            <w:r>
              <w:rPr>
                <w:rFonts w:ascii="Times New Roman" w:cs="Times New Roman" w:eastAsia="Times New Roman" w:hAnsi="Times New Roman"/>
                <w:sz w:val="20"/>
                <w:szCs w:val="20"/>
              </w:rPr>
              <w:t xml:space="preserve">Role-Based Login Authentication</w:t>
            </w:r>
          </w:p>
        </w:tc>
        <w:tc>
          <w:tcPr>
            <w:tcW w:type="dxa" w:w="16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sz w:val="20"/>
                <w:szCs w:val="20"/>
              </w:rPr>
              <w:t xml:space="preserve">Functional</w:t>
            </w:r>
          </w:p>
        </w:tc>
        <w:tc>
          <w:tcPr>
            <w:tcW w:type="dxa" w:w="14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b/>
                <w:bCs/>
                <w:color w:val="B71C1C"/>
                <w:sz w:val="20"/>
                <w:szCs w:val="20"/>
              </w:rPr>
              <w:t xml:space="preserve">High</w:t>
            </w:r>
          </w:p>
        </w:tc>
      </w:tr>
      <w:tr>
        <w:tc>
          <w:tcPr>
            <w:tcW w:type="dxa" w:w="900"/>
            <w:tcBorders>
              <w:top w:val="single" w:color="000000" w:sz="6"/>
              <w:left w:val="single" w:color="000000" w:sz="6"/>
              <w:bottom w:val="single" w:color="000000" w:sz="6"/>
              <w:right w:val="single" w:color="000000" w:sz="6"/>
            </w:tcBorders>
            <w:shd w:fill="F1F8E9" w:color="F1F8E9" w:val="solid"/>
            <w:vAlign w:val="center"/>
          </w:tcPr>
          <w:p>
            <w:pPr>
              <w:jc w:val="center"/>
            </w:pPr>
            <w:r>
              <w:rPr>
                <w:rFonts w:ascii="Times New Roman" w:cs="Times New Roman" w:eastAsia="Times New Roman" w:hAnsi="Times New Roman"/>
                <w:sz w:val="20"/>
                <w:szCs w:val="20"/>
              </w:rPr>
              <w:t xml:space="preserve">REQ-003</w:t>
            </w:r>
          </w:p>
        </w:tc>
        <w:tc>
          <w:tcPr>
            <w:tcW w:type="dxa" w:w="4400"/>
            <w:tcBorders>
              <w:top w:val="single" w:color="000000" w:sz="6"/>
              <w:left w:val="single" w:color="000000" w:sz="6"/>
              <w:bottom w:val="single" w:color="000000" w:sz="6"/>
              <w:right w:val="single" w:color="000000" w:sz="6"/>
            </w:tcBorders>
            <w:shd w:fill="F1F8E9" w:color="F1F8E9" w:val="solid"/>
            <w:vAlign w:val="center"/>
          </w:tcPr>
          <w:p>
            <w:pPr>
              <w:jc w:val="left"/>
            </w:pPr>
            <w:r>
              <w:rPr>
                <w:rFonts w:ascii="Times New Roman" w:cs="Times New Roman" w:eastAsia="Times New Roman" w:hAnsi="Times New Roman"/>
                <w:sz w:val="20"/>
                <w:szCs w:val="20"/>
              </w:rPr>
              <w:t xml:space="preserve">Mango Product Listing &amp; Catalog</w:t>
            </w:r>
          </w:p>
        </w:tc>
        <w:tc>
          <w:tcPr>
            <w:tcW w:type="dxa" w:w="1600"/>
            <w:tcBorders>
              <w:top w:val="single" w:color="000000" w:sz="6"/>
              <w:left w:val="single" w:color="000000" w:sz="6"/>
              <w:bottom w:val="single" w:color="000000" w:sz="6"/>
              <w:right w:val="single" w:color="000000" w:sz="6"/>
            </w:tcBorders>
            <w:shd w:fill="F1F8E9" w:color="F1F8E9" w:val="solid"/>
            <w:vAlign w:val="center"/>
          </w:tcPr>
          <w:p>
            <w:pPr>
              <w:jc w:val="center"/>
            </w:pPr>
            <w:r>
              <w:rPr>
                <w:rFonts w:ascii="Times New Roman" w:cs="Times New Roman" w:eastAsia="Times New Roman" w:hAnsi="Times New Roman"/>
                <w:sz w:val="20"/>
                <w:szCs w:val="20"/>
              </w:rPr>
              <w:t xml:space="preserve">Functional</w:t>
            </w:r>
          </w:p>
        </w:tc>
        <w:tc>
          <w:tcPr>
            <w:tcW w:type="dxa" w:w="1400"/>
            <w:tcBorders>
              <w:top w:val="single" w:color="000000" w:sz="6"/>
              <w:left w:val="single" w:color="000000" w:sz="6"/>
              <w:bottom w:val="single" w:color="000000" w:sz="6"/>
              <w:right w:val="single" w:color="000000" w:sz="6"/>
            </w:tcBorders>
            <w:shd w:fill="F1F8E9" w:color="F1F8E9" w:val="solid"/>
            <w:vAlign w:val="center"/>
          </w:tcPr>
          <w:p>
            <w:pPr>
              <w:jc w:val="center"/>
            </w:pPr>
            <w:r>
              <w:rPr>
                <w:rFonts w:ascii="Times New Roman" w:cs="Times New Roman" w:eastAsia="Times New Roman" w:hAnsi="Times New Roman"/>
                <w:b/>
                <w:bCs/>
                <w:color w:val="B71C1C"/>
                <w:sz w:val="20"/>
                <w:szCs w:val="20"/>
              </w:rPr>
              <w:t xml:space="preserve">High</w:t>
            </w:r>
          </w:p>
        </w:tc>
      </w:tr>
      <w:tr>
        <w:tc>
          <w:tcPr>
            <w:tcW w:type="dxa" w:w="9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sz w:val="20"/>
                <w:szCs w:val="20"/>
              </w:rPr>
              <w:t xml:space="preserve">REQ-004</w:t>
            </w:r>
          </w:p>
        </w:tc>
        <w:tc>
          <w:tcPr>
            <w:tcW w:type="dxa" w:w="4400"/>
            <w:tcBorders>
              <w:top w:val="single" w:color="000000" w:sz="6"/>
              <w:left w:val="single" w:color="000000" w:sz="6"/>
              <w:bottom w:val="single" w:color="000000" w:sz="6"/>
              <w:right w:val="single" w:color="000000" w:sz="6"/>
            </w:tcBorders>
            <w:vAlign w:val="center"/>
          </w:tcPr>
          <w:p>
            <w:pPr>
              <w:jc w:val="left"/>
            </w:pPr>
            <w:r>
              <w:rPr>
                <w:rFonts w:ascii="Times New Roman" w:cs="Times New Roman" w:eastAsia="Times New Roman" w:hAnsi="Times New Roman"/>
                <w:sz w:val="20"/>
                <w:szCs w:val="20"/>
              </w:rPr>
              <w:t xml:space="preserve">Shopping Cart &amp; Checkout</w:t>
            </w:r>
          </w:p>
        </w:tc>
        <w:tc>
          <w:tcPr>
            <w:tcW w:type="dxa" w:w="16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sz w:val="20"/>
                <w:szCs w:val="20"/>
              </w:rPr>
              <w:t xml:space="preserve">Functional</w:t>
            </w:r>
          </w:p>
        </w:tc>
        <w:tc>
          <w:tcPr>
            <w:tcW w:type="dxa" w:w="14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b/>
                <w:bCs/>
                <w:color w:val="B71C1C"/>
                <w:sz w:val="20"/>
                <w:szCs w:val="20"/>
              </w:rPr>
              <w:t xml:space="preserve">High</w:t>
            </w:r>
          </w:p>
        </w:tc>
      </w:tr>
      <w:tr>
        <w:tc>
          <w:tcPr>
            <w:tcW w:type="dxa" w:w="900"/>
            <w:tcBorders>
              <w:top w:val="single" w:color="000000" w:sz="6"/>
              <w:left w:val="single" w:color="000000" w:sz="6"/>
              <w:bottom w:val="single" w:color="000000" w:sz="6"/>
              <w:right w:val="single" w:color="000000" w:sz="6"/>
            </w:tcBorders>
            <w:shd w:fill="F1F8E9" w:color="F1F8E9" w:val="solid"/>
            <w:vAlign w:val="center"/>
          </w:tcPr>
          <w:p>
            <w:pPr>
              <w:jc w:val="center"/>
            </w:pPr>
            <w:r>
              <w:rPr>
                <w:rFonts w:ascii="Times New Roman" w:cs="Times New Roman" w:eastAsia="Times New Roman" w:hAnsi="Times New Roman"/>
                <w:sz w:val="20"/>
                <w:szCs w:val="20"/>
              </w:rPr>
              <w:t xml:space="preserve">REQ-005</w:t>
            </w:r>
          </w:p>
        </w:tc>
        <w:tc>
          <w:tcPr>
            <w:tcW w:type="dxa" w:w="4400"/>
            <w:tcBorders>
              <w:top w:val="single" w:color="000000" w:sz="6"/>
              <w:left w:val="single" w:color="000000" w:sz="6"/>
              <w:bottom w:val="single" w:color="000000" w:sz="6"/>
              <w:right w:val="single" w:color="000000" w:sz="6"/>
            </w:tcBorders>
            <w:shd w:fill="F1F8E9" w:color="F1F8E9" w:val="solid"/>
            <w:vAlign w:val="center"/>
          </w:tcPr>
          <w:p>
            <w:pPr>
              <w:jc w:val="left"/>
            </w:pPr>
            <w:r>
              <w:rPr>
                <w:rFonts w:ascii="Times New Roman" w:cs="Times New Roman" w:eastAsia="Times New Roman" w:hAnsi="Times New Roman"/>
                <w:sz w:val="20"/>
                <w:szCs w:val="20"/>
              </w:rPr>
              <w:t xml:space="preserve">Online Payment Processing</w:t>
            </w:r>
          </w:p>
        </w:tc>
        <w:tc>
          <w:tcPr>
            <w:tcW w:type="dxa" w:w="1600"/>
            <w:tcBorders>
              <w:top w:val="single" w:color="000000" w:sz="6"/>
              <w:left w:val="single" w:color="000000" w:sz="6"/>
              <w:bottom w:val="single" w:color="000000" w:sz="6"/>
              <w:right w:val="single" w:color="000000" w:sz="6"/>
            </w:tcBorders>
            <w:shd w:fill="F1F8E9" w:color="F1F8E9" w:val="solid"/>
            <w:vAlign w:val="center"/>
          </w:tcPr>
          <w:p>
            <w:pPr>
              <w:jc w:val="center"/>
            </w:pPr>
            <w:r>
              <w:rPr>
                <w:rFonts w:ascii="Times New Roman" w:cs="Times New Roman" w:eastAsia="Times New Roman" w:hAnsi="Times New Roman"/>
                <w:sz w:val="20"/>
                <w:szCs w:val="20"/>
              </w:rPr>
              <w:t xml:space="preserve">Functional</w:t>
            </w:r>
          </w:p>
        </w:tc>
        <w:tc>
          <w:tcPr>
            <w:tcW w:type="dxa" w:w="1400"/>
            <w:tcBorders>
              <w:top w:val="single" w:color="000000" w:sz="6"/>
              <w:left w:val="single" w:color="000000" w:sz="6"/>
              <w:bottom w:val="single" w:color="000000" w:sz="6"/>
              <w:right w:val="single" w:color="000000" w:sz="6"/>
            </w:tcBorders>
            <w:shd w:fill="F1F8E9" w:color="F1F8E9" w:val="solid"/>
            <w:vAlign w:val="center"/>
          </w:tcPr>
          <w:p>
            <w:pPr>
              <w:jc w:val="center"/>
            </w:pPr>
            <w:r>
              <w:rPr>
                <w:rFonts w:ascii="Times New Roman" w:cs="Times New Roman" w:eastAsia="Times New Roman" w:hAnsi="Times New Roman"/>
                <w:b/>
                <w:bCs/>
                <w:color w:val="B71C1C"/>
                <w:sz w:val="20"/>
                <w:szCs w:val="20"/>
              </w:rPr>
              <w:t xml:space="preserve">High</w:t>
            </w:r>
          </w:p>
        </w:tc>
      </w:tr>
      <w:tr>
        <w:tc>
          <w:tcPr>
            <w:tcW w:type="dxa" w:w="9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sz w:val="20"/>
                <w:szCs w:val="20"/>
              </w:rPr>
              <w:t xml:space="preserve">REQ-006</w:t>
            </w:r>
          </w:p>
        </w:tc>
        <w:tc>
          <w:tcPr>
            <w:tcW w:type="dxa" w:w="4400"/>
            <w:tcBorders>
              <w:top w:val="single" w:color="000000" w:sz="6"/>
              <w:left w:val="single" w:color="000000" w:sz="6"/>
              <w:bottom w:val="single" w:color="000000" w:sz="6"/>
              <w:right w:val="single" w:color="000000" w:sz="6"/>
            </w:tcBorders>
            <w:vAlign w:val="center"/>
          </w:tcPr>
          <w:p>
            <w:pPr>
              <w:jc w:val="left"/>
            </w:pPr>
            <w:r>
              <w:rPr>
                <w:rFonts w:ascii="Times New Roman" w:cs="Times New Roman" w:eastAsia="Times New Roman" w:hAnsi="Times New Roman"/>
                <w:sz w:val="20"/>
                <w:szCs w:val="20"/>
              </w:rPr>
              <w:t xml:space="preserve">Order Management &amp; Tracking</w:t>
            </w:r>
          </w:p>
        </w:tc>
        <w:tc>
          <w:tcPr>
            <w:tcW w:type="dxa" w:w="16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sz w:val="20"/>
                <w:szCs w:val="20"/>
              </w:rPr>
              <w:t xml:space="preserve">Functional</w:t>
            </w:r>
          </w:p>
        </w:tc>
        <w:tc>
          <w:tcPr>
            <w:tcW w:type="dxa" w:w="14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b/>
                <w:bCs/>
                <w:color w:val="B71C1C"/>
                <w:sz w:val="20"/>
                <w:szCs w:val="20"/>
              </w:rPr>
              <w:t xml:space="preserve">High</w:t>
            </w:r>
          </w:p>
        </w:tc>
      </w:tr>
      <w:tr>
        <w:tc>
          <w:tcPr>
            <w:tcW w:type="dxa" w:w="900"/>
            <w:tcBorders>
              <w:top w:val="single" w:color="000000" w:sz="6"/>
              <w:left w:val="single" w:color="000000" w:sz="6"/>
              <w:bottom w:val="single" w:color="000000" w:sz="6"/>
              <w:right w:val="single" w:color="000000" w:sz="6"/>
            </w:tcBorders>
            <w:shd w:fill="F1F8E9" w:color="F1F8E9" w:val="solid"/>
            <w:vAlign w:val="center"/>
          </w:tcPr>
          <w:p>
            <w:pPr>
              <w:jc w:val="center"/>
            </w:pPr>
            <w:r>
              <w:rPr>
                <w:rFonts w:ascii="Times New Roman" w:cs="Times New Roman" w:eastAsia="Times New Roman" w:hAnsi="Times New Roman"/>
                <w:sz w:val="20"/>
                <w:szCs w:val="20"/>
              </w:rPr>
              <w:t xml:space="preserve">REQ-007</w:t>
            </w:r>
          </w:p>
        </w:tc>
        <w:tc>
          <w:tcPr>
            <w:tcW w:type="dxa" w:w="4400"/>
            <w:tcBorders>
              <w:top w:val="single" w:color="000000" w:sz="6"/>
              <w:left w:val="single" w:color="000000" w:sz="6"/>
              <w:bottom w:val="single" w:color="000000" w:sz="6"/>
              <w:right w:val="single" w:color="000000" w:sz="6"/>
            </w:tcBorders>
            <w:shd w:fill="F1F8E9" w:color="F1F8E9" w:val="solid"/>
            <w:vAlign w:val="center"/>
          </w:tcPr>
          <w:p>
            <w:pPr>
              <w:jc w:val="left"/>
            </w:pPr>
            <w:r>
              <w:rPr>
                <w:rFonts w:ascii="Times New Roman" w:cs="Times New Roman" w:eastAsia="Times New Roman" w:hAnsi="Times New Roman"/>
                <w:sz w:val="20"/>
                <w:szCs w:val="20"/>
              </w:rPr>
              <w:t xml:space="preserve">Real-Time Inventory Management</w:t>
            </w:r>
          </w:p>
        </w:tc>
        <w:tc>
          <w:tcPr>
            <w:tcW w:type="dxa" w:w="1600"/>
            <w:tcBorders>
              <w:top w:val="single" w:color="000000" w:sz="6"/>
              <w:left w:val="single" w:color="000000" w:sz="6"/>
              <w:bottom w:val="single" w:color="000000" w:sz="6"/>
              <w:right w:val="single" w:color="000000" w:sz="6"/>
            </w:tcBorders>
            <w:shd w:fill="F1F8E9" w:color="F1F8E9" w:val="solid"/>
            <w:vAlign w:val="center"/>
          </w:tcPr>
          <w:p>
            <w:pPr>
              <w:jc w:val="center"/>
            </w:pPr>
            <w:r>
              <w:rPr>
                <w:rFonts w:ascii="Times New Roman" w:cs="Times New Roman" w:eastAsia="Times New Roman" w:hAnsi="Times New Roman"/>
                <w:sz w:val="20"/>
                <w:szCs w:val="20"/>
              </w:rPr>
              <w:t xml:space="preserve">Functional</w:t>
            </w:r>
          </w:p>
        </w:tc>
        <w:tc>
          <w:tcPr>
            <w:tcW w:type="dxa" w:w="1400"/>
            <w:tcBorders>
              <w:top w:val="single" w:color="000000" w:sz="6"/>
              <w:left w:val="single" w:color="000000" w:sz="6"/>
              <w:bottom w:val="single" w:color="000000" w:sz="6"/>
              <w:right w:val="single" w:color="000000" w:sz="6"/>
            </w:tcBorders>
            <w:shd w:fill="F1F8E9" w:color="F1F8E9" w:val="solid"/>
            <w:vAlign w:val="center"/>
          </w:tcPr>
          <w:p>
            <w:pPr>
              <w:jc w:val="center"/>
            </w:pPr>
            <w:r>
              <w:rPr>
                <w:rFonts w:ascii="Times New Roman" w:cs="Times New Roman" w:eastAsia="Times New Roman" w:hAnsi="Times New Roman"/>
                <w:b/>
                <w:bCs/>
                <w:color w:val="B71C1C"/>
                <w:sz w:val="20"/>
                <w:szCs w:val="20"/>
              </w:rPr>
              <w:t xml:space="preserve">High</w:t>
            </w:r>
          </w:p>
        </w:tc>
      </w:tr>
      <w:tr>
        <w:tc>
          <w:tcPr>
            <w:tcW w:type="dxa" w:w="9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sz w:val="20"/>
                <w:szCs w:val="20"/>
              </w:rPr>
              <w:t xml:space="preserve">REQ-008</w:t>
            </w:r>
          </w:p>
        </w:tc>
        <w:tc>
          <w:tcPr>
            <w:tcW w:type="dxa" w:w="4400"/>
            <w:tcBorders>
              <w:top w:val="single" w:color="000000" w:sz="6"/>
              <w:left w:val="single" w:color="000000" w:sz="6"/>
              <w:bottom w:val="single" w:color="000000" w:sz="6"/>
              <w:right w:val="single" w:color="000000" w:sz="6"/>
            </w:tcBorders>
            <w:vAlign w:val="center"/>
          </w:tcPr>
          <w:p>
            <w:pPr>
              <w:jc w:val="left"/>
            </w:pPr>
            <w:r>
              <w:rPr>
                <w:rFonts w:ascii="Times New Roman" w:cs="Times New Roman" w:eastAsia="Times New Roman" w:hAnsi="Times New Roman"/>
                <w:sz w:val="20"/>
                <w:szCs w:val="20"/>
              </w:rPr>
              <w:t xml:space="preserve">Automated Sales Reports &amp; Analytics</w:t>
            </w:r>
          </w:p>
        </w:tc>
        <w:tc>
          <w:tcPr>
            <w:tcW w:type="dxa" w:w="16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sz w:val="20"/>
                <w:szCs w:val="20"/>
              </w:rPr>
              <w:t xml:space="preserve">Functional</w:t>
            </w:r>
          </w:p>
        </w:tc>
        <w:tc>
          <w:tcPr>
            <w:tcW w:type="dxa" w:w="14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b/>
                <w:bCs/>
                <w:color w:val="E65100"/>
                <w:sz w:val="20"/>
                <w:szCs w:val="20"/>
              </w:rPr>
              <w:t xml:space="preserve">Medium</w:t>
            </w:r>
          </w:p>
        </w:tc>
      </w:tr>
      <w:tr>
        <w:tc>
          <w:tcPr>
            <w:tcW w:type="dxa" w:w="900"/>
            <w:tcBorders>
              <w:top w:val="single" w:color="000000" w:sz="6"/>
              <w:left w:val="single" w:color="000000" w:sz="6"/>
              <w:bottom w:val="single" w:color="000000" w:sz="6"/>
              <w:right w:val="single" w:color="000000" w:sz="6"/>
            </w:tcBorders>
            <w:shd w:fill="F1F8E9" w:color="F1F8E9" w:val="solid"/>
            <w:vAlign w:val="center"/>
          </w:tcPr>
          <w:p>
            <w:pPr>
              <w:jc w:val="center"/>
            </w:pPr>
            <w:r>
              <w:rPr>
                <w:rFonts w:ascii="Times New Roman" w:cs="Times New Roman" w:eastAsia="Times New Roman" w:hAnsi="Times New Roman"/>
                <w:sz w:val="20"/>
                <w:szCs w:val="20"/>
              </w:rPr>
              <w:t xml:space="preserve">REQ-009</w:t>
            </w:r>
          </w:p>
        </w:tc>
        <w:tc>
          <w:tcPr>
            <w:tcW w:type="dxa" w:w="4400"/>
            <w:tcBorders>
              <w:top w:val="single" w:color="000000" w:sz="6"/>
              <w:left w:val="single" w:color="000000" w:sz="6"/>
              <w:bottom w:val="single" w:color="000000" w:sz="6"/>
              <w:right w:val="single" w:color="000000" w:sz="6"/>
            </w:tcBorders>
            <w:shd w:fill="F1F8E9" w:color="F1F8E9" w:val="solid"/>
            <w:vAlign w:val="center"/>
          </w:tcPr>
          <w:p>
            <w:pPr>
              <w:jc w:val="left"/>
            </w:pPr>
            <w:r>
              <w:rPr>
                <w:rFonts w:ascii="Times New Roman" w:cs="Times New Roman" w:eastAsia="Times New Roman" w:hAnsi="Times New Roman"/>
                <w:sz w:val="20"/>
                <w:szCs w:val="20"/>
              </w:rPr>
              <w:t xml:space="preserve">Product Reviews &amp; Ratings</w:t>
            </w:r>
          </w:p>
        </w:tc>
        <w:tc>
          <w:tcPr>
            <w:tcW w:type="dxa" w:w="1600"/>
            <w:tcBorders>
              <w:top w:val="single" w:color="000000" w:sz="6"/>
              <w:left w:val="single" w:color="000000" w:sz="6"/>
              <w:bottom w:val="single" w:color="000000" w:sz="6"/>
              <w:right w:val="single" w:color="000000" w:sz="6"/>
            </w:tcBorders>
            <w:shd w:fill="F1F8E9" w:color="F1F8E9" w:val="solid"/>
            <w:vAlign w:val="center"/>
          </w:tcPr>
          <w:p>
            <w:pPr>
              <w:jc w:val="center"/>
            </w:pPr>
            <w:r>
              <w:rPr>
                <w:rFonts w:ascii="Times New Roman" w:cs="Times New Roman" w:eastAsia="Times New Roman" w:hAnsi="Times New Roman"/>
                <w:sz w:val="20"/>
                <w:szCs w:val="20"/>
              </w:rPr>
              <w:t xml:space="preserve">Functional</w:t>
            </w:r>
          </w:p>
        </w:tc>
        <w:tc>
          <w:tcPr>
            <w:tcW w:type="dxa" w:w="1400"/>
            <w:tcBorders>
              <w:top w:val="single" w:color="000000" w:sz="6"/>
              <w:left w:val="single" w:color="000000" w:sz="6"/>
              <w:bottom w:val="single" w:color="000000" w:sz="6"/>
              <w:right w:val="single" w:color="000000" w:sz="6"/>
            </w:tcBorders>
            <w:shd w:fill="F1F8E9" w:color="F1F8E9" w:val="solid"/>
            <w:vAlign w:val="center"/>
          </w:tcPr>
          <w:p>
            <w:pPr>
              <w:jc w:val="center"/>
            </w:pPr>
            <w:r>
              <w:rPr>
                <w:rFonts w:ascii="Times New Roman" w:cs="Times New Roman" w:eastAsia="Times New Roman" w:hAnsi="Times New Roman"/>
                <w:b/>
                <w:bCs/>
                <w:color w:val="E65100"/>
                <w:sz w:val="20"/>
                <w:szCs w:val="20"/>
              </w:rPr>
              <w:t xml:space="preserve">Medium</w:t>
            </w:r>
          </w:p>
        </w:tc>
      </w:tr>
      <w:tr>
        <w:tc>
          <w:tcPr>
            <w:tcW w:type="dxa" w:w="9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sz w:val="20"/>
                <w:szCs w:val="20"/>
              </w:rPr>
              <w:t xml:space="preserve">REQ-010</w:t>
            </w:r>
          </w:p>
        </w:tc>
        <w:tc>
          <w:tcPr>
            <w:tcW w:type="dxa" w:w="4400"/>
            <w:tcBorders>
              <w:top w:val="single" w:color="000000" w:sz="6"/>
              <w:left w:val="single" w:color="000000" w:sz="6"/>
              <w:bottom w:val="single" w:color="000000" w:sz="6"/>
              <w:right w:val="single" w:color="000000" w:sz="6"/>
            </w:tcBorders>
            <w:vAlign w:val="center"/>
          </w:tcPr>
          <w:p>
            <w:pPr>
              <w:jc w:val="left"/>
            </w:pPr>
            <w:r>
              <w:rPr>
                <w:rFonts w:ascii="Times New Roman" w:cs="Times New Roman" w:eastAsia="Times New Roman" w:hAnsi="Times New Roman"/>
                <w:sz w:val="20"/>
                <w:szCs w:val="20"/>
              </w:rPr>
              <w:t xml:space="preserve">Admin Dashboard &amp; User Oversight</w:t>
            </w:r>
          </w:p>
        </w:tc>
        <w:tc>
          <w:tcPr>
            <w:tcW w:type="dxa" w:w="16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sz w:val="20"/>
                <w:szCs w:val="20"/>
              </w:rPr>
              <w:t xml:space="preserve">Functional</w:t>
            </w:r>
          </w:p>
        </w:tc>
        <w:tc>
          <w:tcPr>
            <w:tcW w:type="dxa" w:w="14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b/>
                <w:bCs/>
                <w:color w:val="B71C1C"/>
                <w:sz w:val="20"/>
                <w:szCs w:val="20"/>
              </w:rPr>
              <w:t xml:space="preserve">High</w:t>
            </w:r>
          </w:p>
        </w:tc>
      </w:tr>
      <w:tr>
        <w:tc>
          <w:tcPr>
            <w:tcW w:type="dxa" w:w="900"/>
            <w:tcBorders>
              <w:top w:val="single" w:color="000000" w:sz="6"/>
              <w:left w:val="single" w:color="000000" w:sz="6"/>
              <w:bottom w:val="single" w:color="000000" w:sz="6"/>
              <w:right w:val="single" w:color="000000" w:sz="6"/>
            </w:tcBorders>
            <w:shd w:fill="F1F8E9" w:color="F1F8E9" w:val="solid"/>
            <w:vAlign w:val="center"/>
          </w:tcPr>
          <w:p>
            <w:pPr>
              <w:jc w:val="center"/>
            </w:pPr>
            <w:r>
              <w:rPr>
                <w:rFonts w:ascii="Times New Roman" w:cs="Times New Roman" w:eastAsia="Times New Roman" w:hAnsi="Times New Roman"/>
                <w:sz w:val="20"/>
                <w:szCs w:val="20"/>
              </w:rPr>
              <w:t xml:space="preserve">REQ-011</w:t>
            </w:r>
          </w:p>
        </w:tc>
        <w:tc>
          <w:tcPr>
            <w:tcW w:type="dxa" w:w="4400"/>
            <w:tcBorders>
              <w:top w:val="single" w:color="000000" w:sz="6"/>
              <w:left w:val="single" w:color="000000" w:sz="6"/>
              <w:bottom w:val="single" w:color="000000" w:sz="6"/>
              <w:right w:val="single" w:color="000000" w:sz="6"/>
            </w:tcBorders>
            <w:shd w:fill="F1F8E9" w:color="F1F8E9" w:val="solid"/>
            <w:vAlign w:val="center"/>
          </w:tcPr>
          <w:p>
            <w:pPr>
              <w:jc w:val="left"/>
            </w:pPr>
            <w:r>
              <w:rPr>
                <w:rFonts w:ascii="Times New Roman" w:cs="Times New Roman" w:eastAsia="Times New Roman" w:hAnsi="Times New Roman"/>
                <w:sz w:val="20"/>
                <w:szCs w:val="20"/>
              </w:rPr>
              <w:t xml:space="preserve">Email/SMS Order Notifications</w:t>
            </w:r>
          </w:p>
        </w:tc>
        <w:tc>
          <w:tcPr>
            <w:tcW w:type="dxa" w:w="1600"/>
            <w:tcBorders>
              <w:top w:val="single" w:color="000000" w:sz="6"/>
              <w:left w:val="single" w:color="000000" w:sz="6"/>
              <w:bottom w:val="single" w:color="000000" w:sz="6"/>
              <w:right w:val="single" w:color="000000" w:sz="6"/>
            </w:tcBorders>
            <w:shd w:fill="F1F8E9" w:color="F1F8E9" w:val="solid"/>
            <w:vAlign w:val="center"/>
          </w:tcPr>
          <w:p>
            <w:pPr>
              <w:jc w:val="center"/>
            </w:pPr>
            <w:r>
              <w:rPr>
                <w:rFonts w:ascii="Times New Roman" w:cs="Times New Roman" w:eastAsia="Times New Roman" w:hAnsi="Times New Roman"/>
                <w:sz w:val="20"/>
                <w:szCs w:val="20"/>
              </w:rPr>
              <w:t xml:space="preserve">Functional</w:t>
            </w:r>
          </w:p>
        </w:tc>
        <w:tc>
          <w:tcPr>
            <w:tcW w:type="dxa" w:w="1400"/>
            <w:tcBorders>
              <w:top w:val="single" w:color="000000" w:sz="6"/>
              <w:left w:val="single" w:color="000000" w:sz="6"/>
              <w:bottom w:val="single" w:color="000000" w:sz="6"/>
              <w:right w:val="single" w:color="000000" w:sz="6"/>
            </w:tcBorders>
            <w:shd w:fill="F1F8E9" w:color="F1F8E9" w:val="solid"/>
            <w:vAlign w:val="center"/>
          </w:tcPr>
          <w:p>
            <w:pPr>
              <w:jc w:val="center"/>
            </w:pPr>
            <w:r>
              <w:rPr>
                <w:rFonts w:ascii="Times New Roman" w:cs="Times New Roman" w:eastAsia="Times New Roman" w:hAnsi="Times New Roman"/>
                <w:b/>
                <w:bCs/>
                <w:color w:val="E65100"/>
                <w:sz w:val="20"/>
                <w:szCs w:val="20"/>
              </w:rPr>
              <w:t xml:space="preserve">Medium</w:t>
            </w:r>
          </w:p>
        </w:tc>
      </w:tr>
      <w:tr>
        <w:tc>
          <w:tcPr>
            <w:tcW w:type="dxa" w:w="9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sz w:val="20"/>
                <w:szCs w:val="20"/>
              </w:rPr>
              <w:t xml:space="preserve">REQ-012</w:t>
            </w:r>
          </w:p>
        </w:tc>
        <w:tc>
          <w:tcPr>
            <w:tcW w:type="dxa" w:w="4400"/>
            <w:tcBorders>
              <w:top w:val="single" w:color="000000" w:sz="6"/>
              <w:left w:val="single" w:color="000000" w:sz="6"/>
              <w:bottom w:val="single" w:color="000000" w:sz="6"/>
              <w:right w:val="single" w:color="000000" w:sz="6"/>
            </w:tcBorders>
            <w:vAlign w:val="center"/>
          </w:tcPr>
          <w:p>
            <w:pPr>
              <w:jc w:val="left"/>
            </w:pPr>
            <w:r>
              <w:rPr>
                <w:rFonts w:ascii="Times New Roman" w:cs="Times New Roman" w:eastAsia="Times New Roman" w:hAnsi="Times New Roman"/>
                <w:sz w:val="20"/>
                <w:szCs w:val="20"/>
              </w:rPr>
              <w:t xml:space="preserve">Search, Filter &amp; Sort Products</w:t>
            </w:r>
          </w:p>
        </w:tc>
        <w:tc>
          <w:tcPr>
            <w:tcW w:type="dxa" w:w="16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sz w:val="20"/>
                <w:szCs w:val="20"/>
              </w:rPr>
              <w:t xml:space="preserve">Functional</w:t>
            </w:r>
          </w:p>
        </w:tc>
        <w:tc>
          <w:tcPr>
            <w:tcW w:type="dxa" w:w="14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b/>
                <w:bCs/>
                <w:color w:val="E65100"/>
                <w:sz w:val="20"/>
                <w:szCs w:val="20"/>
              </w:rPr>
              <w:t xml:space="preserve">Medium</w:t>
            </w:r>
          </w:p>
        </w:tc>
      </w:tr>
      <w:tr>
        <w:tc>
          <w:tcPr>
            <w:tcW w:type="dxa" w:w="900"/>
            <w:tcBorders>
              <w:top w:val="single" w:color="000000" w:sz="6"/>
              <w:left w:val="single" w:color="000000" w:sz="6"/>
              <w:bottom w:val="single" w:color="000000" w:sz="6"/>
              <w:right w:val="single" w:color="000000" w:sz="6"/>
            </w:tcBorders>
            <w:shd w:fill="F1F8E9" w:color="F1F8E9" w:val="solid"/>
            <w:vAlign w:val="center"/>
          </w:tcPr>
          <w:p>
            <w:pPr>
              <w:jc w:val="center"/>
            </w:pPr>
            <w:r>
              <w:rPr>
                <w:rFonts w:ascii="Times New Roman" w:cs="Times New Roman" w:eastAsia="Times New Roman" w:hAnsi="Times New Roman"/>
                <w:sz w:val="20"/>
                <w:szCs w:val="20"/>
              </w:rPr>
              <w:t xml:space="preserve">REQ-013</w:t>
            </w:r>
          </w:p>
        </w:tc>
        <w:tc>
          <w:tcPr>
            <w:tcW w:type="dxa" w:w="4400"/>
            <w:tcBorders>
              <w:top w:val="single" w:color="000000" w:sz="6"/>
              <w:left w:val="single" w:color="000000" w:sz="6"/>
              <w:bottom w:val="single" w:color="000000" w:sz="6"/>
              <w:right w:val="single" w:color="000000" w:sz="6"/>
            </w:tcBorders>
            <w:shd w:fill="F1F8E9" w:color="F1F8E9" w:val="solid"/>
            <w:vAlign w:val="center"/>
          </w:tcPr>
          <w:p>
            <w:pPr>
              <w:jc w:val="left"/>
            </w:pPr>
            <w:r>
              <w:rPr>
                <w:rFonts w:ascii="Times New Roman" w:cs="Times New Roman" w:eastAsia="Times New Roman" w:hAnsi="Times New Roman"/>
                <w:sz w:val="20"/>
                <w:szCs w:val="20"/>
              </w:rPr>
              <w:t xml:space="preserve">Data Security &amp; Encryption (HTTPS/bcrypt)</w:t>
            </w:r>
          </w:p>
        </w:tc>
        <w:tc>
          <w:tcPr>
            <w:tcW w:type="dxa" w:w="1600"/>
            <w:tcBorders>
              <w:top w:val="single" w:color="000000" w:sz="6"/>
              <w:left w:val="single" w:color="000000" w:sz="6"/>
              <w:bottom w:val="single" w:color="000000" w:sz="6"/>
              <w:right w:val="single" w:color="000000" w:sz="6"/>
            </w:tcBorders>
            <w:shd w:fill="F1F8E9" w:color="F1F8E9" w:val="solid"/>
            <w:vAlign w:val="center"/>
          </w:tcPr>
          <w:p>
            <w:pPr>
              <w:jc w:val="center"/>
            </w:pPr>
            <w:r>
              <w:rPr>
                <w:rFonts w:ascii="Times New Roman" w:cs="Times New Roman" w:eastAsia="Times New Roman" w:hAnsi="Times New Roman"/>
                <w:sz w:val="20"/>
                <w:szCs w:val="20"/>
              </w:rPr>
              <w:t xml:space="preserve">Non-Functional</w:t>
            </w:r>
          </w:p>
        </w:tc>
        <w:tc>
          <w:tcPr>
            <w:tcW w:type="dxa" w:w="1400"/>
            <w:tcBorders>
              <w:top w:val="single" w:color="000000" w:sz="6"/>
              <w:left w:val="single" w:color="000000" w:sz="6"/>
              <w:bottom w:val="single" w:color="000000" w:sz="6"/>
              <w:right w:val="single" w:color="000000" w:sz="6"/>
            </w:tcBorders>
            <w:shd w:fill="F1F8E9" w:color="F1F8E9" w:val="solid"/>
            <w:vAlign w:val="center"/>
          </w:tcPr>
          <w:p>
            <w:pPr>
              <w:jc w:val="center"/>
            </w:pPr>
            <w:r>
              <w:rPr>
                <w:rFonts w:ascii="Times New Roman" w:cs="Times New Roman" w:eastAsia="Times New Roman" w:hAnsi="Times New Roman"/>
                <w:b/>
                <w:bCs/>
                <w:color w:val="B71C1C"/>
                <w:sz w:val="20"/>
                <w:szCs w:val="20"/>
              </w:rPr>
              <w:t xml:space="preserve">High</w:t>
            </w:r>
          </w:p>
        </w:tc>
      </w:tr>
      <w:tr>
        <w:tc>
          <w:tcPr>
            <w:tcW w:type="dxa" w:w="9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sz w:val="20"/>
                <w:szCs w:val="20"/>
              </w:rPr>
              <w:t xml:space="preserve">REQ-014</w:t>
            </w:r>
          </w:p>
        </w:tc>
        <w:tc>
          <w:tcPr>
            <w:tcW w:type="dxa" w:w="4400"/>
            <w:tcBorders>
              <w:top w:val="single" w:color="000000" w:sz="6"/>
              <w:left w:val="single" w:color="000000" w:sz="6"/>
              <w:bottom w:val="single" w:color="000000" w:sz="6"/>
              <w:right w:val="single" w:color="000000" w:sz="6"/>
            </w:tcBorders>
            <w:vAlign w:val="center"/>
          </w:tcPr>
          <w:p>
            <w:pPr>
              <w:jc w:val="left"/>
            </w:pPr>
            <w:r>
              <w:rPr>
                <w:rFonts w:ascii="Times New Roman" w:cs="Times New Roman" w:eastAsia="Times New Roman" w:hAnsi="Times New Roman"/>
                <w:sz w:val="20"/>
                <w:szCs w:val="20"/>
              </w:rPr>
              <w:t xml:space="preserve">System Performance (Page Load &lt;= 3s)</w:t>
            </w:r>
          </w:p>
        </w:tc>
        <w:tc>
          <w:tcPr>
            <w:tcW w:type="dxa" w:w="16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sz w:val="20"/>
                <w:szCs w:val="20"/>
              </w:rPr>
              <w:t xml:space="preserve">Non-Functional</w:t>
            </w:r>
          </w:p>
        </w:tc>
        <w:tc>
          <w:tcPr>
            <w:tcW w:type="dxa" w:w="14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b/>
                <w:bCs/>
                <w:color w:val="B71C1C"/>
                <w:sz w:val="20"/>
                <w:szCs w:val="20"/>
              </w:rPr>
              <w:t xml:space="preserve">High</w:t>
            </w:r>
          </w:p>
        </w:tc>
      </w:tr>
      <w:tr>
        <w:tc>
          <w:tcPr>
            <w:tcW w:type="dxa" w:w="900"/>
            <w:tcBorders>
              <w:top w:val="single" w:color="000000" w:sz="6"/>
              <w:left w:val="single" w:color="000000" w:sz="6"/>
              <w:bottom w:val="single" w:color="000000" w:sz="6"/>
              <w:right w:val="single" w:color="000000" w:sz="6"/>
            </w:tcBorders>
            <w:shd w:fill="F1F8E9" w:color="F1F8E9" w:val="solid"/>
            <w:vAlign w:val="center"/>
          </w:tcPr>
          <w:p>
            <w:pPr>
              <w:jc w:val="center"/>
            </w:pPr>
            <w:r>
              <w:rPr>
                <w:rFonts w:ascii="Times New Roman" w:cs="Times New Roman" w:eastAsia="Times New Roman" w:hAnsi="Times New Roman"/>
                <w:sz w:val="20"/>
                <w:szCs w:val="20"/>
              </w:rPr>
              <w:t xml:space="preserve">REQ-015</w:t>
            </w:r>
          </w:p>
        </w:tc>
        <w:tc>
          <w:tcPr>
            <w:tcW w:type="dxa" w:w="4400"/>
            <w:tcBorders>
              <w:top w:val="single" w:color="000000" w:sz="6"/>
              <w:left w:val="single" w:color="000000" w:sz="6"/>
              <w:bottom w:val="single" w:color="000000" w:sz="6"/>
              <w:right w:val="single" w:color="000000" w:sz="6"/>
            </w:tcBorders>
            <w:shd w:fill="F1F8E9" w:color="F1F8E9" w:val="solid"/>
            <w:vAlign w:val="center"/>
          </w:tcPr>
          <w:p>
            <w:pPr>
              <w:jc w:val="left"/>
            </w:pPr>
            <w:r>
              <w:rPr>
                <w:rFonts w:ascii="Times New Roman" w:cs="Times New Roman" w:eastAsia="Times New Roman" w:hAnsi="Times New Roman"/>
                <w:sz w:val="20"/>
                <w:szCs w:val="20"/>
              </w:rPr>
              <w:t xml:space="preserve">Cross-Device &amp; Browser Compatibility</w:t>
            </w:r>
          </w:p>
        </w:tc>
        <w:tc>
          <w:tcPr>
            <w:tcW w:type="dxa" w:w="1600"/>
            <w:tcBorders>
              <w:top w:val="single" w:color="000000" w:sz="6"/>
              <w:left w:val="single" w:color="000000" w:sz="6"/>
              <w:bottom w:val="single" w:color="000000" w:sz="6"/>
              <w:right w:val="single" w:color="000000" w:sz="6"/>
            </w:tcBorders>
            <w:shd w:fill="F1F8E9" w:color="F1F8E9" w:val="solid"/>
            <w:vAlign w:val="center"/>
          </w:tcPr>
          <w:p>
            <w:pPr>
              <w:jc w:val="center"/>
            </w:pPr>
            <w:r>
              <w:rPr>
                <w:rFonts w:ascii="Times New Roman" w:cs="Times New Roman" w:eastAsia="Times New Roman" w:hAnsi="Times New Roman"/>
                <w:sz w:val="20"/>
                <w:szCs w:val="20"/>
              </w:rPr>
              <w:t xml:space="preserve">Non-Functional</w:t>
            </w:r>
          </w:p>
        </w:tc>
        <w:tc>
          <w:tcPr>
            <w:tcW w:type="dxa" w:w="1400"/>
            <w:tcBorders>
              <w:top w:val="single" w:color="000000" w:sz="6"/>
              <w:left w:val="single" w:color="000000" w:sz="6"/>
              <w:bottom w:val="single" w:color="000000" w:sz="6"/>
              <w:right w:val="single" w:color="000000" w:sz="6"/>
            </w:tcBorders>
            <w:shd w:fill="F1F8E9" w:color="F1F8E9" w:val="solid"/>
            <w:vAlign w:val="center"/>
          </w:tcPr>
          <w:p>
            <w:pPr>
              <w:jc w:val="center"/>
            </w:pPr>
            <w:r>
              <w:rPr>
                <w:rFonts w:ascii="Times New Roman" w:cs="Times New Roman" w:eastAsia="Times New Roman" w:hAnsi="Times New Roman"/>
                <w:b/>
                <w:bCs/>
                <w:color w:val="B71C1C"/>
                <w:sz w:val="20"/>
                <w:szCs w:val="20"/>
              </w:rPr>
              <w:t xml:space="preserve">High</w:t>
            </w:r>
          </w:p>
        </w:tc>
      </w:tr>
      <w:tr>
        <w:tc>
          <w:tcPr>
            <w:tcW w:type="dxa" w:w="9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sz w:val="20"/>
                <w:szCs w:val="20"/>
              </w:rPr>
              <w:t xml:space="preserve">REQ-016</w:t>
            </w:r>
          </w:p>
        </w:tc>
        <w:tc>
          <w:tcPr>
            <w:tcW w:type="dxa" w:w="4400"/>
            <w:tcBorders>
              <w:top w:val="single" w:color="000000" w:sz="6"/>
              <w:left w:val="single" w:color="000000" w:sz="6"/>
              <w:bottom w:val="single" w:color="000000" w:sz="6"/>
              <w:right w:val="single" w:color="000000" w:sz="6"/>
            </w:tcBorders>
            <w:vAlign w:val="center"/>
          </w:tcPr>
          <w:p>
            <w:pPr>
              <w:jc w:val="left"/>
            </w:pPr>
            <w:r>
              <w:rPr>
                <w:rFonts w:ascii="Times New Roman" w:cs="Times New Roman" w:eastAsia="Times New Roman" w:hAnsi="Times New Roman"/>
                <w:sz w:val="20"/>
                <w:szCs w:val="20"/>
              </w:rPr>
              <w:t xml:space="preserve">System Availability &gt;= 99.5% Uptime</w:t>
            </w:r>
          </w:p>
        </w:tc>
        <w:tc>
          <w:tcPr>
            <w:tcW w:type="dxa" w:w="16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sz w:val="20"/>
                <w:szCs w:val="20"/>
              </w:rPr>
              <w:t xml:space="preserve">Non-Functional</w:t>
            </w:r>
          </w:p>
        </w:tc>
        <w:tc>
          <w:tcPr>
            <w:tcW w:type="dxa" w:w="14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b/>
                <w:bCs/>
                <w:color w:val="B71C1C"/>
                <w:sz w:val="20"/>
                <w:szCs w:val="20"/>
              </w:rPr>
              <w:t xml:space="preserve">High</w:t>
            </w:r>
          </w:p>
        </w:tc>
      </w:tr>
      <w:tr>
        <w:tc>
          <w:tcPr>
            <w:tcW w:type="dxa" w:w="900"/>
            <w:tcBorders>
              <w:top w:val="single" w:color="000000" w:sz="6"/>
              <w:left w:val="single" w:color="000000" w:sz="6"/>
              <w:bottom w:val="single" w:color="000000" w:sz="6"/>
              <w:right w:val="single" w:color="000000" w:sz="6"/>
            </w:tcBorders>
            <w:shd w:fill="F1F8E9" w:color="F1F8E9" w:val="solid"/>
            <w:vAlign w:val="center"/>
          </w:tcPr>
          <w:p>
            <w:pPr>
              <w:jc w:val="center"/>
            </w:pPr>
            <w:r>
              <w:rPr>
                <w:rFonts w:ascii="Times New Roman" w:cs="Times New Roman" w:eastAsia="Times New Roman" w:hAnsi="Times New Roman"/>
                <w:sz w:val="20"/>
                <w:szCs w:val="20"/>
              </w:rPr>
              <w:t xml:space="preserve">REQ-017</w:t>
            </w:r>
          </w:p>
        </w:tc>
        <w:tc>
          <w:tcPr>
            <w:tcW w:type="dxa" w:w="4400"/>
            <w:tcBorders>
              <w:top w:val="single" w:color="000000" w:sz="6"/>
              <w:left w:val="single" w:color="000000" w:sz="6"/>
              <w:bottom w:val="single" w:color="000000" w:sz="6"/>
              <w:right w:val="single" w:color="000000" w:sz="6"/>
            </w:tcBorders>
            <w:shd w:fill="F1F8E9" w:color="F1F8E9" w:val="solid"/>
            <w:vAlign w:val="center"/>
          </w:tcPr>
          <w:p>
            <w:pPr>
              <w:jc w:val="left"/>
            </w:pPr>
            <w:r>
              <w:rPr>
                <w:rFonts w:ascii="Times New Roman" w:cs="Times New Roman" w:eastAsia="Times New Roman" w:hAnsi="Times New Roman"/>
                <w:sz w:val="20"/>
                <w:szCs w:val="20"/>
              </w:rPr>
              <w:t xml:space="preserve">Scalable Architecture for Growth</w:t>
            </w:r>
          </w:p>
        </w:tc>
        <w:tc>
          <w:tcPr>
            <w:tcW w:type="dxa" w:w="1600"/>
            <w:tcBorders>
              <w:top w:val="single" w:color="000000" w:sz="6"/>
              <w:left w:val="single" w:color="000000" w:sz="6"/>
              <w:bottom w:val="single" w:color="000000" w:sz="6"/>
              <w:right w:val="single" w:color="000000" w:sz="6"/>
            </w:tcBorders>
            <w:shd w:fill="F1F8E9" w:color="F1F8E9" w:val="solid"/>
            <w:vAlign w:val="center"/>
          </w:tcPr>
          <w:p>
            <w:pPr>
              <w:jc w:val="center"/>
            </w:pPr>
            <w:r>
              <w:rPr>
                <w:rFonts w:ascii="Times New Roman" w:cs="Times New Roman" w:eastAsia="Times New Roman" w:hAnsi="Times New Roman"/>
                <w:sz w:val="20"/>
                <w:szCs w:val="20"/>
              </w:rPr>
              <w:t xml:space="preserve">Non-Functional</w:t>
            </w:r>
          </w:p>
        </w:tc>
        <w:tc>
          <w:tcPr>
            <w:tcW w:type="dxa" w:w="1400"/>
            <w:tcBorders>
              <w:top w:val="single" w:color="000000" w:sz="6"/>
              <w:left w:val="single" w:color="000000" w:sz="6"/>
              <w:bottom w:val="single" w:color="000000" w:sz="6"/>
              <w:right w:val="single" w:color="000000" w:sz="6"/>
            </w:tcBorders>
            <w:shd w:fill="F1F8E9" w:color="F1F8E9" w:val="solid"/>
            <w:vAlign w:val="center"/>
          </w:tcPr>
          <w:p>
            <w:pPr>
              <w:jc w:val="center"/>
            </w:pPr>
            <w:r>
              <w:rPr>
                <w:rFonts w:ascii="Times New Roman" w:cs="Times New Roman" w:eastAsia="Times New Roman" w:hAnsi="Times New Roman"/>
                <w:b/>
                <w:bCs/>
                <w:color w:val="E65100"/>
                <w:sz w:val="20"/>
                <w:szCs w:val="20"/>
              </w:rPr>
              <w:t xml:space="preserve">Medium</w:t>
            </w:r>
          </w:p>
        </w:tc>
      </w:tr>
      <w:tr>
        <w:tc>
          <w:tcPr>
            <w:tcW w:type="dxa" w:w="9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sz w:val="20"/>
                <w:szCs w:val="20"/>
              </w:rPr>
              <w:t xml:space="preserve">REQ-018</w:t>
            </w:r>
          </w:p>
        </w:tc>
        <w:tc>
          <w:tcPr>
            <w:tcW w:type="dxa" w:w="4400"/>
            <w:tcBorders>
              <w:top w:val="single" w:color="000000" w:sz="6"/>
              <w:left w:val="single" w:color="000000" w:sz="6"/>
              <w:bottom w:val="single" w:color="000000" w:sz="6"/>
              <w:right w:val="single" w:color="000000" w:sz="6"/>
            </w:tcBorders>
            <w:vAlign w:val="center"/>
          </w:tcPr>
          <w:p>
            <w:pPr>
              <w:jc w:val="left"/>
            </w:pPr>
            <w:r>
              <w:rPr>
                <w:rFonts w:ascii="Times New Roman" w:cs="Times New Roman" w:eastAsia="Times New Roman" w:hAnsi="Times New Roman"/>
                <w:sz w:val="20"/>
                <w:szCs w:val="20"/>
              </w:rPr>
              <w:t xml:space="preserve">Audit Logs &amp; Maintainability</w:t>
            </w:r>
          </w:p>
        </w:tc>
        <w:tc>
          <w:tcPr>
            <w:tcW w:type="dxa" w:w="16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sz w:val="20"/>
                <w:szCs w:val="20"/>
              </w:rPr>
              <w:t xml:space="preserve">Non-Functional</w:t>
            </w:r>
          </w:p>
        </w:tc>
        <w:tc>
          <w:tcPr>
            <w:tcW w:type="dxa" w:w="14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b/>
                <w:bCs/>
                <w:color w:val="1B5E20"/>
                <w:sz w:val="20"/>
                <w:szCs w:val="20"/>
              </w:rPr>
              <w:t xml:space="preserve">Low</w:t>
            </w:r>
          </w:p>
        </w:tc>
      </w:tr>
      <w:tr>
        <w:tc>
          <w:tcPr>
            <w:tcW w:type="dxa" w:w="900"/>
            <w:tcBorders>
              <w:top w:val="single" w:color="000000" w:sz="6"/>
              <w:left w:val="single" w:color="000000" w:sz="6"/>
              <w:bottom w:val="single" w:color="000000" w:sz="6"/>
              <w:right w:val="single" w:color="000000" w:sz="6"/>
            </w:tcBorders>
            <w:shd w:fill="F1F8E9" w:color="F1F8E9" w:val="solid"/>
            <w:vAlign w:val="center"/>
          </w:tcPr>
          <w:p>
            <w:pPr>
              <w:jc w:val="center"/>
            </w:pPr>
            <w:r>
              <w:rPr>
                <w:rFonts w:ascii="Times New Roman" w:cs="Times New Roman" w:eastAsia="Times New Roman" w:hAnsi="Times New Roman"/>
                <w:sz w:val="20"/>
                <w:szCs w:val="20"/>
              </w:rPr>
              <w:t xml:space="preserve">REQ-019</w:t>
            </w:r>
          </w:p>
        </w:tc>
        <w:tc>
          <w:tcPr>
            <w:tcW w:type="dxa" w:w="4400"/>
            <w:tcBorders>
              <w:top w:val="single" w:color="000000" w:sz="6"/>
              <w:left w:val="single" w:color="000000" w:sz="6"/>
              <w:bottom w:val="single" w:color="000000" w:sz="6"/>
              <w:right w:val="single" w:color="000000" w:sz="6"/>
            </w:tcBorders>
            <w:shd w:fill="F1F8E9" w:color="F1F8E9" w:val="solid"/>
            <w:vAlign w:val="center"/>
          </w:tcPr>
          <w:p>
            <w:pPr>
              <w:jc w:val="left"/>
            </w:pPr>
            <w:r>
              <w:rPr>
                <w:rFonts w:ascii="Times New Roman" w:cs="Times New Roman" w:eastAsia="Times New Roman" w:hAnsi="Times New Roman"/>
                <w:sz w:val="20"/>
                <w:szCs w:val="20"/>
              </w:rPr>
              <w:t xml:space="preserve">Accessible &amp; Intuitive UI/UX Design</w:t>
            </w:r>
          </w:p>
        </w:tc>
        <w:tc>
          <w:tcPr>
            <w:tcW w:type="dxa" w:w="1600"/>
            <w:tcBorders>
              <w:top w:val="single" w:color="000000" w:sz="6"/>
              <w:left w:val="single" w:color="000000" w:sz="6"/>
              <w:bottom w:val="single" w:color="000000" w:sz="6"/>
              <w:right w:val="single" w:color="000000" w:sz="6"/>
            </w:tcBorders>
            <w:shd w:fill="F1F8E9" w:color="F1F8E9" w:val="solid"/>
            <w:vAlign w:val="center"/>
          </w:tcPr>
          <w:p>
            <w:pPr>
              <w:jc w:val="center"/>
            </w:pPr>
            <w:r>
              <w:rPr>
                <w:rFonts w:ascii="Times New Roman" w:cs="Times New Roman" w:eastAsia="Times New Roman" w:hAnsi="Times New Roman"/>
                <w:sz w:val="20"/>
                <w:szCs w:val="20"/>
              </w:rPr>
              <w:t xml:space="preserve">Non-Functional</w:t>
            </w:r>
          </w:p>
        </w:tc>
        <w:tc>
          <w:tcPr>
            <w:tcW w:type="dxa" w:w="1400"/>
            <w:tcBorders>
              <w:top w:val="single" w:color="000000" w:sz="6"/>
              <w:left w:val="single" w:color="000000" w:sz="6"/>
              <w:bottom w:val="single" w:color="000000" w:sz="6"/>
              <w:right w:val="single" w:color="000000" w:sz="6"/>
            </w:tcBorders>
            <w:shd w:fill="F1F8E9" w:color="F1F8E9" w:val="solid"/>
            <w:vAlign w:val="center"/>
          </w:tcPr>
          <w:p>
            <w:pPr>
              <w:jc w:val="center"/>
            </w:pPr>
            <w:r>
              <w:rPr>
                <w:rFonts w:ascii="Times New Roman" w:cs="Times New Roman" w:eastAsia="Times New Roman" w:hAnsi="Times New Roman"/>
                <w:b/>
                <w:bCs/>
                <w:color w:val="E65100"/>
                <w:sz w:val="20"/>
                <w:szCs w:val="20"/>
              </w:rPr>
              <w:t xml:space="preserve">Medium</w:t>
            </w:r>
          </w:p>
        </w:tc>
      </w:tr>
      <w:tr>
        <w:tc>
          <w:tcPr>
            <w:tcW w:type="dxa" w:w="9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sz w:val="20"/>
                <w:szCs w:val="20"/>
              </w:rPr>
              <w:t xml:space="preserve">REQ-020</w:t>
            </w:r>
          </w:p>
        </w:tc>
        <w:tc>
          <w:tcPr>
            <w:tcW w:type="dxa" w:w="4400"/>
            <w:tcBorders>
              <w:top w:val="single" w:color="000000" w:sz="6"/>
              <w:left w:val="single" w:color="000000" w:sz="6"/>
              <w:bottom w:val="single" w:color="000000" w:sz="6"/>
              <w:right w:val="single" w:color="000000" w:sz="6"/>
            </w:tcBorders>
            <w:vAlign w:val="center"/>
          </w:tcPr>
          <w:p>
            <w:pPr>
              <w:jc w:val="left"/>
            </w:pPr>
            <w:r>
              <w:rPr>
                <w:rFonts w:ascii="Times New Roman" w:cs="Times New Roman" w:eastAsia="Times New Roman" w:hAnsi="Times New Roman"/>
                <w:sz w:val="20"/>
                <w:szCs w:val="20"/>
              </w:rPr>
              <w:t xml:space="preserve">Delivery Zone &amp; Logistics Configuration</w:t>
            </w:r>
          </w:p>
        </w:tc>
        <w:tc>
          <w:tcPr>
            <w:tcW w:type="dxa" w:w="16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sz w:val="20"/>
                <w:szCs w:val="20"/>
              </w:rPr>
              <w:t xml:space="preserve">Functional</w:t>
            </w:r>
          </w:p>
        </w:tc>
        <w:tc>
          <w:tcPr>
            <w:tcW w:type="dxa" w:w="1400"/>
            <w:tcBorders>
              <w:top w:val="single" w:color="000000" w:sz="6"/>
              <w:left w:val="single" w:color="000000" w:sz="6"/>
              <w:bottom w:val="single" w:color="000000" w:sz="6"/>
              <w:right w:val="single" w:color="000000" w:sz="6"/>
            </w:tcBorders>
            <w:vAlign w:val="center"/>
          </w:tcPr>
          <w:p>
            <w:pPr>
              <w:jc w:val="center"/>
            </w:pPr>
            <w:r>
              <w:rPr>
                <w:rFonts w:ascii="Times New Roman" w:cs="Times New Roman" w:eastAsia="Times New Roman" w:hAnsi="Times New Roman"/>
                <w:b/>
                <w:bCs/>
                <w:color w:val="1B5E20"/>
                <w:sz w:val="20"/>
                <w:szCs w:val="20"/>
              </w:rPr>
              <w:t xml:space="preserve">Low</w:t>
            </w:r>
          </w:p>
        </w:tc>
      </w:tr>
    </w:tbl>
    <w:p>
      <w:pPr>
        <w:spacing w:after="140" w:before="0"/>
      </w:pPr>
      <w:r>
        <w:t xml:space="preserve"/>
      </w:r>
    </w:p>
    <w:p>
      <w:pPr>
        <w:spacing w:after="200" w:before="0" w:line="360"/>
        <w:ind w:firstLine="720"/>
        <w:jc w:val="both"/>
      </w:pPr>
      <w:r>
        <w:rPr>
          <w:rFonts w:ascii="Times New Roman" w:cs="Times New Roman" w:eastAsia="Times New Roman" w:hAnsi="Times New Roman"/>
          <w:sz w:val="24"/>
          <w:szCs w:val="24"/>
        </w:rPr>
        <w:t xml:space="preserve">Requirements designated as High Priority constitute the minimum viable feature set for Version 1.0 and will be fully implemented and tested prior to deployment. Medium Priority requirements represent significant value-adding features included in Version 1.0 subject to schedule and resource availability. Low Priority requirements are acknowledged beneficial enhancements that may be deferred to a subsequent release cycle if timeline constraints necessitate scope reduction. All requirements have been formally reviewed and approved by project stakeholders as components of the authorized system scope.</w:t>
      </w:r>
    </w:p>
    <w:p>
      <w:pPr>
        <w:pStyle w:val="Heading2"/>
        <w:spacing w:after="120" w:before="240"/>
      </w:pPr>
      <w:r>
        <w:rPr>
          <w:rFonts w:ascii="Times New Roman" w:cs="Times New Roman" w:eastAsia="Times New Roman" w:hAnsi="Times New Roman"/>
          <w:b/>
          <w:bCs/>
          <w:sz w:val="26"/>
          <w:szCs w:val="26"/>
        </w:rPr>
        <w:t xml:space="preserve">3.3.4  Gantt Chart – Project Schedule</w:t>
      </w:r>
    </w:p>
    <w:p>
      <w:pPr>
        <w:spacing w:after="160" w:before="0" w:line="360"/>
        <w:jc w:val="both"/>
      </w:pPr>
      <w:r>
        <w:rPr>
          <w:rFonts w:ascii="Times New Roman" w:cs="Times New Roman" w:eastAsia="Times New Roman" w:hAnsi="Times New Roman"/>
          <w:sz w:val="24"/>
          <w:szCs w:val="24"/>
        </w:rPr>
        <w:t xml:space="preserve">Table 3.2 presents the project development schedule spanning February 2026 to September 2026. Shaded cells indicate the months during which each activity is scheduled to be actively in progress.</w:t>
      </w:r>
    </w:p>
    <w:p>
      <w:pPr>
        <w:spacing w:after="140" w:before="0"/>
      </w:pPr>
      <w:r>
        <w:t xml:space="preserve"/>
      </w:r>
    </w:p>
    <w:p>
      <w:pPr>
        <w:spacing w:after="100" w:before="0"/>
        <w:jc w:val="center"/>
      </w:pPr>
      <w:r>
        <w:rPr>
          <w:rFonts w:ascii="Times New Roman" w:cs="Times New Roman" w:eastAsia="Times New Roman" w:hAnsi="Times New Roman"/>
          <w:b/>
          <w:bCs/>
          <w:i/>
          <w:iCs/>
          <w:sz w:val="22"/>
          <w:szCs w:val="22"/>
        </w:rPr>
        <w:t xml:space="preserve">Table 3.2 – Project Gantt Chart (February 2026 – September 2026)</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2700"/>
            <w:tcBorders>
              <w:top w:val="single" w:color="000000" w:sz="6"/>
              <w:left w:val="single" w:color="000000" w:sz="6"/>
              <w:bottom w:val="single" w:color="000000" w:sz="6"/>
              <w:right w:val="single" w:color="000000" w:sz="6"/>
            </w:tcBorders>
            <w:shd w:fill="2E7D32" w:color="2E7D32" w:val="solid"/>
            <w:vAlign w:val="center"/>
          </w:tcPr>
          <w:p>
            <w:pPr>
              <w:jc w:val="center"/>
            </w:pPr>
            <w:r>
              <w:rPr>
                <w:rFonts w:ascii="Times New Roman" w:cs="Times New Roman" w:eastAsia="Times New Roman" w:hAnsi="Times New Roman"/>
                <w:b/>
                <w:bCs/>
                <w:color w:val="FFFFFF"/>
                <w:sz w:val="20"/>
                <w:szCs w:val="20"/>
              </w:rPr>
              <w:t xml:space="preserve">Task / Month</w:t>
            </w:r>
          </w:p>
        </w:tc>
        <w:tc>
          <w:tcPr>
            <w:tcW w:type="dxa" w:w="700"/>
            <w:tcBorders>
              <w:top w:val="single" w:color="000000" w:sz="6"/>
              <w:left w:val="single" w:color="000000" w:sz="6"/>
              <w:bottom w:val="single" w:color="000000" w:sz="6"/>
              <w:right w:val="single" w:color="000000" w:sz="6"/>
            </w:tcBorders>
            <w:shd w:fill="2E7D32" w:color="2E7D32" w:val="solid"/>
            <w:vAlign w:val="center"/>
          </w:tcPr>
          <w:p>
            <w:pPr>
              <w:jc w:val="center"/>
            </w:pPr>
            <w:r>
              <w:rPr>
                <w:rFonts w:ascii="Times New Roman" w:cs="Times New Roman" w:eastAsia="Times New Roman" w:hAnsi="Times New Roman"/>
                <w:b/>
                <w:bCs/>
                <w:color w:val="FFFFFF"/>
                <w:sz w:val="20"/>
                <w:szCs w:val="20"/>
              </w:rPr>
              <w:t xml:space="preserve">Feb</w:t>
            </w:r>
          </w:p>
        </w:tc>
        <w:tc>
          <w:tcPr>
            <w:tcW w:type="dxa" w:w="700"/>
            <w:tcBorders>
              <w:top w:val="single" w:color="000000" w:sz="6"/>
              <w:left w:val="single" w:color="000000" w:sz="6"/>
              <w:bottom w:val="single" w:color="000000" w:sz="6"/>
              <w:right w:val="single" w:color="000000" w:sz="6"/>
            </w:tcBorders>
            <w:shd w:fill="2E7D32" w:color="2E7D32" w:val="solid"/>
            <w:vAlign w:val="center"/>
          </w:tcPr>
          <w:p>
            <w:pPr>
              <w:jc w:val="center"/>
            </w:pPr>
            <w:r>
              <w:rPr>
                <w:rFonts w:ascii="Times New Roman" w:cs="Times New Roman" w:eastAsia="Times New Roman" w:hAnsi="Times New Roman"/>
                <w:b/>
                <w:bCs/>
                <w:color w:val="FFFFFF"/>
                <w:sz w:val="20"/>
                <w:szCs w:val="20"/>
              </w:rPr>
              <w:t xml:space="preserve">Mar</w:t>
            </w:r>
          </w:p>
        </w:tc>
        <w:tc>
          <w:tcPr>
            <w:tcW w:type="dxa" w:w="700"/>
            <w:tcBorders>
              <w:top w:val="single" w:color="000000" w:sz="6"/>
              <w:left w:val="single" w:color="000000" w:sz="6"/>
              <w:bottom w:val="single" w:color="000000" w:sz="6"/>
              <w:right w:val="single" w:color="000000" w:sz="6"/>
            </w:tcBorders>
            <w:shd w:fill="2E7D32" w:color="2E7D32" w:val="solid"/>
            <w:vAlign w:val="center"/>
          </w:tcPr>
          <w:p>
            <w:pPr>
              <w:jc w:val="center"/>
            </w:pPr>
            <w:r>
              <w:rPr>
                <w:rFonts w:ascii="Times New Roman" w:cs="Times New Roman" w:eastAsia="Times New Roman" w:hAnsi="Times New Roman"/>
                <w:b/>
                <w:bCs/>
                <w:color w:val="FFFFFF"/>
                <w:sz w:val="20"/>
                <w:szCs w:val="20"/>
              </w:rPr>
              <w:t xml:space="preserve">Apr</w:t>
            </w:r>
          </w:p>
        </w:tc>
        <w:tc>
          <w:tcPr>
            <w:tcW w:type="dxa" w:w="700"/>
            <w:tcBorders>
              <w:top w:val="single" w:color="000000" w:sz="6"/>
              <w:left w:val="single" w:color="000000" w:sz="6"/>
              <w:bottom w:val="single" w:color="000000" w:sz="6"/>
              <w:right w:val="single" w:color="000000" w:sz="6"/>
            </w:tcBorders>
            <w:shd w:fill="2E7D32" w:color="2E7D32" w:val="solid"/>
            <w:vAlign w:val="center"/>
          </w:tcPr>
          <w:p>
            <w:pPr>
              <w:jc w:val="center"/>
            </w:pPr>
            <w:r>
              <w:rPr>
                <w:rFonts w:ascii="Times New Roman" w:cs="Times New Roman" w:eastAsia="Times New Roman" w:hAnsi="Times New Roman"/>
                <w:b/>
                <w:bCs/>
                <w:color w:val="FFFFFF"/>
                <w:sz w:val="20"/>
                <w:szCs w:val="20"/>
              </w:rPr>
              <w:t xml:space="preserve">May</w:t>
            </w:r>
          </w:p>
        </w:tc>
        <w:tc>
          <w:tcPr>
            <w:tcW w:type="dxa" w:w="700"/>
            <w:tcBorders>
              <w:top w:val="single" w:color="000000" w:sz="6"/>
              <w:left w:val="single" w:color="000000" w:sz="6"/>
              <w:bottom w:val="single" w:color="000000" w:sz="6"/>
              <w:right w:val="single" w:color="000000" w:sz="6"/>
            </w:tcBorders>
            <w:shd w:fill="2E7D32" w:color="2E7D32" w:val="solid"/>
            <w:vAlign w:val="center"/>
          </w:tcPr>
          <w:p>
            <w:pPr>
              <w:jc w:val="center"/>
            </w:pPr>
            <w:r>
              <w:rPr>
                <w:rFonts w:ascii="Times New Roman" w:cs="Times New Roman" w:eastAsia="Times New Roman" w:hAnsi="Times New Roman"/>
                <w:b/>
                <w:bCs/>
                <w:color w:val="FFFFFF"/>
                <w:sz w:val="20"/>
                <w:szCs w:val="20"/>
              </w:rPr>
              <w:t xml:space="preserve">Jun</w:t>
            </w:r>
          </w:p>
        </w:tc>
        <w:tc>
          <w:tcPr>
            <w:tcW w:type="dxa" w:w="700"/>
            <w:tcBorders>
              <w:top w:val="single" w:color="000000" w:sz="6"/>
              <w:left w:val="single" w:color="000000" w:sz="6"/>
              <w:bottom w:val="single" w:color="000000" w:sz="6"/>
              <w:right w:val="single" w:color="000000" w:sz="6"/>
            </w:tcBorders>
            <w:shd w:fill="2E7D32" w:color="2E7D32" w:val="solid"/>
            <w:vAlign w:val="center"/>
          </w:tcPr>
          <w:p>
            <w:pPr>
              <w:jc w:val="center"/>
            </w:pPr>
            <w:r>
              <w:rPr>
                <w:rFonts w:ascii="Times New Roman" w:cs="Times New Roman" w:eastAsia="Times New Roman" w:hAnsi="Times New Roman"/>
                <w:b/>
                <w:bCs/>
                <w:color w:val="FFFFFF"/>
                <w:sz w:val="20"/>
                <w:szCs w:val="20"/>
              </w:rPr>
              <w:t xml:space="preserve">Jul</w:t>
            </w:r>
          </w:p>
        </w:tc>
        <w:tc>
          <w:tcPr>
            <w:tcW w:type="dxa" w:w="700"/>
            <w:tcBorders>
              <w:top w:val="single" w:color="000000" w:sz="6"/>
              <w:left w:val="single" w:color="000000" w:sz="6"/>
              <w:bottom w:val="single" w:color="000000" w:sz="6"/>
              <w:right w:val="single" w:color="000000" w:sz="6"/>
            </w:tcBorders>
            <w:shd w:fill="2E7D32" w:color="2E7D32" w:val="solid"/>
            <w:vAlign w:val="center"/>
          </w:tcPr>
          <w:p>
            <w:pPr>
              <w:jc w:val="center"/>
            </w:pPr>
            <w:r>
              <w:rPr>
                <w:rFonts w:ascii="Times New Roman" w:cs="Times New Roman" w:eastAsia="Times New Roman" w:hAnsi="Times New Roman"/>
                <w:b/>
                <w:bCs/>
                <w:color w:val="FFFFFF"/>
                <w:sz w:val="20"/>
                <w:szCs w:val="20"/>
              </w:rPr>
              <w:t xml:space="preserve">Aug</w:t>
            </w:r>
          </w:p>
        </w:tc>
        <w:tc>
          <w:tcPr>
            <w:tcW w:type="dxa" w:w="700"/>
            <w:tcBorders>
              <w:top w:val="single" w:color="000000" w:sz="6"/>
              <w:left w:val="single" w:color="000000" w:sz="6"/>
              <w:bottom w:val="single" w:color="000000" w:sz="6"/>
              <w:right w:val="single" w:color="000000" w:sz="6"/>
            </w:tcBorders>
            <w:shd w:fill="2E7D32" w:color="2E7D32" w:val="solid"/>
            <w:vAlign w:val="center"/>
          </w:tcPr>
          <w:p>
            <w:pPr>
              <w:jc w:val="center"/>
            </w:pPr>
            <w:r>
              <w:rPr>
                <w:rFonts w:ascii="Times New Roman" w:cs="Times New Roman" w:eastAsia="Times New Roman" w:hAnsi="Times New Roman"/>
                <w:b/>
                <w:bCs/>
                <w:color w:val="FFFFFF"/>
                <w:sz w:val="20"/>
                <w:szCs w:val="20"/>
              </w:rPr>
              <w:t xml:space="preserve">Sep</w:t>
            </w:r>
          </w:p>
        </w:tc>
      </w:tr>
      <w:tr>
        <w:tc>
          <w:tcPr>
            <w:tcW w:type="dxa" w:w="2700"/>
            <w:tcBorders>
              <w:top w:val="single" w:color="000000" w:sz="6"/>
              <w:left w:val="single" w:color="000000" w:sz="6"/>
              <w:bottom w:val="single" w:color="000000" w:sz="6"/>
              <w:right w:val="single" w:color="000000" w:sz="6"/>
            </w:tcBorders>
            <w:shd w:fill="F1F8E9" w:color="F1F8E9" w:val="solid"/>
            <w:vAlign w:val="center"/>
          </w:tcPr>
          <w:p>
            <w:pPr>
              <w:jc w:val="left"/>
            </w:pPr>
            <w:r>
              <w:rPr>
                <w:rFonts w:ascii="Times New Roman" w:cs="Times New Roman" w:eastAsia="Times New Roman" w:hAnsi="Times New Roman"/>
                <w:sz w:val="20"/>
                <w:szCs w:val="20"/>
              </w:rPr>
              <w:t xml:space="preserve">1. Requirement Gathering</w:t>
            </w:r>
          </w:p>
        </w:tc>
        <w:tc>
          <w:tcPr>
            <w:tcW w:type="dxa" w:w="700"/>
            <w:tcBorders>
              <w:top w:val="single" w:color="000000" w:sz="6"/>
              <w:left w:val="single" w:color="000000" w:sz="6"/>
              <w:bottom w:val="single" w:color="000000" w:sz="6"/>
              <w:right w:val="single" w:color="000000" w:sz="6"/>
            </w:tcBorders>
            <w:shd w:fill="388E3C" w:color="388E3C" w:val="solid"/>
          </w:tcPr>
          <w:p>
            <w:r>
              <w:t xml:space="preserve"/>
            </w:r>
          </w:p>
        </w:tc>
        <w:tc>
          <w:tcPr>
            <w:tcW w:type="dxa" w:w="700"/>
            <w:tcBorders>
              <w:top w:val="single" w:color="000000" w:sz="6"/>
              <w:left w:val="single" w:color="000000" w:sz="6"/>
              <w:bottom w:val="single" w:color="000000" w:sz="6"/>
              <w:right w:val="single" w:color="000000" w:sz="6"/>
            </w:tcBorders>
            <w:shd w:fill="F1F8E9" w:color="F1F8E9" w:val="solid"/>
          </w:tcPr>
          <w:p>
            <w:r>
              <w:t xml:space="preserve"/>
            </w:r>
          </w:p>
        </w:tc>
        <w:tc>
          <w:tcPr>
            <w:tcW w:type="dxa" w:w="700"/>
            <w:tcBorders>
              <w:top w:val="single" w:color="000000" w:sz="6"/>
              <w:left w:val="single" w:color="000000" w:sz="6"/>
              <w:bottom w:val="single" w:color="000000" w:sz="6"/>
              <w:right w:val="single" w:color="000000" w:sz="6"/>
            </w:tcBorders>
            <w:shd w:fill="F1F8E9" w:color="F1F8E9" w:val="solid"/>
          </w:tcPr>
          <w:p>
            <w:r>
              <w:t xml:space="preserve"/>
            </w:r>
          </w:p>
        </w:tc>
        <w:tc>
          <w:tcPr>
            <w:tcW w:type="dxa" w:w="700"/>
            <w:tcBorders>
              <w:top w:val="single" w:color="000000" w:sz="6"/>
              <w:left w:val="single" w:color="000000" w:sz="6"/>
              <w:bottom w:val="single" w:color="000000" w:sz="6"/>
              <w:right w:val="single" w:color="000000" w:sz="6"/>
            </w:tcBorders>
            <w:shd w:fill="F1F8E9" w:color="F1F8E9" w:val="solid"/>
          </w:tcPr>
          <w:p>
            <w:r>
              <w:t xml:space="preserve"/>
            </w:r>
          </w:p>
        </w:tc>
        <w:tc>
          <w:tcPr>
            <w:tcW w:type="dxa" w:w="700"/>
            <w:tcBorders>
              <w:top w:val="single" w:color="000000" w:sz="6"/>
              <w:left w:val="single" w:color="000000" w:sz="6"/>
              <w:bottom w:val="single" w:color="000000" w:sz="6"/>
              <w:right w:val="single" w:color="000000" w:sz="6"/>
            </w:tcBorders>
            <w:shd w:fill="F1F8E9" w:color="F1F8E9" w:val="solid"/>
          </w:tcPr>
          <w:p>
            <w:r>
              <w:t xml:space="preserve"/>
            </w:r>
          </w:p>
        </w:tc>
        <w:tc>
          <w:tcPr>
            <w:tcW w:type="dxa" w:w="700"/>
            <w:tcBorders>
              <w:top w:val="single" w:color="000000" w:sz="6"/>
              <w:left w:val="single" w:color="000000" w:sz="6"/>
              <w:bottom w:val="single" w:color="000000" w:sz="6"/>
              <w:right w:val="single" w:color="000000" w:sz="6"/>
            </w:tcBorders>
            <w:shd w:fill="F1F8E9" w:color="F1F8E9" w:val="solid"/>
          </w:tcPr>
          <w:p>
            <w:r>
              <w:t xml:space="preserve"/>
            </w:r>
          </w:p>
        </w:tc>
        <w:tc>
          <w:tcPr>
            <w:tcW w:type="dxa" w:w="700"/>
            <w:tcBorders>
              <w:top w:val="single" w:color="000000" w:sz="6"/>
              <w:left w:val="single" w:color="000000" w:sz="6"/>
              <w:bottom w:val="single" w:color="000000" w:sz="6"/>
              <w:right w:val="single" w:color="000000" w:sz="6"/>
            </w:tcBorders>
            <w:shd w:fill="F1F8E9" w:color="F1F8E9" w:val="solid"/>
          </w:tcPr>
          <w:p>
            <w:r>
              <w:t xml:space="preserve"/>
            </w:r>
          </w:p>
        </w:tc>
        <w:tc>
          <w:tcPr>
            <w:tcW w:type="dxa" w:w="700"/>
            <w:tcBorders>
              <w:top w:val="single" w:color="000000" w:sz="6"/>
              <w:left w:val="single" w:color="000000" w:sz="6"/>
              <w:bottom w:val="single" w:color="000000" w:sz="6"/>
              <w:right w:val="single" w:color="000000" w:sz="6"/>
            </w:tcBorders>
            <w:shd w:fill="F1F8E9" w:color="F1F8E9" w:val="solid"/>
          </w:tcPr>
          <w:p>
            <w:r>
              <w:t xml:space="preserve"/>
            </w:r>
          </w:p>
        </w:tc>
      </w:tr>
      <w:tr>
        <w:tc>
          <w:tcPr>
            <w:tcW w:type="dxa" w:w="2700"/>
            <w:tcBorders>
              <w:top w:val="single" w:color="000000" w:sz="6"/>
              <w:left w:val="single" w:color="000000" w:sz="6"/>
              <w:bottom w:val="single" w:color="000000" w:sz="6"/>
              <w:right w:val="single" w:color="000000" w:sz="6"/>
            </w:tcBorders>
            <w:vAlign w:val="center"/>
          </w:tcPr>
          <w:p>
            <w:pPr>
              <w:jc w:val="left"/>
            </w:pPr>
            <w:r>
              <w:rPr>
                <w:rFonts w:ascii="Times New Roman" w:cs="Times New Roman" w:eastAsia="Times New Roman" w:hAnsi="Times New Roman"/>
                <w:sz w:val="20"/>
                <w:szCs w:val="20"/>
              </w:rPr>
              <w:t xml:space="preserve">2. Literature Review</w:t>
            </w:r>
          </w:p>
        </w:tc>
        <w:tc>
          <w:tcPr>
            <w:tcW w:type="dxa" w:w="700"/>
            <w:tcBorders>
              <w:top w:val="single" w:color="000000" w:sz="6"/>
              <w:left w:val="single" w:color="000000" w:sz="6"/>
              <w:bottom w:val="single" w:color="000000" w:sz="6"/>
              <w:right w:val="single" w:color="000000" w:sz="6"/>
            </w:tcBorders>
            <w:shd w:fill="66BB6A" w:color="66BB6A" w:val="solid"/>
          </w:tcPr>
          <w:p>
            <w:r>
              <w:t xml:space="preserve"/>
            </w:r>
          </w:p>
        </w:tc>
        <w:tc>
          <w:tcPr>
            <w:tcW w:type="dxa" w:w="700"/>
            <w:tcBorders>
              <w:top w:val="single" w:color="000000" w:sz="6"/>
              <w:left w:val="single" w:color="000000" w:sz="6"/>
              <w:bottom w:val="single" w:color="000000" w:sz="6"/>
              <w:right w:val="single" w:color="000000" w:sz="6"/>
            </w:tcBorders>
            <w:shd w:fill="66BB6A" w:color="66BB6A" w:val="solid"/>
          </w:tcPr>
          <w:p>
            <w:r>
              <w:t xml:space="preserve"/>
            </w:r>
          </w:p>
        </w:tc>
        <w:tc>
          <w:tcPr>
            <w:tcW w:type="dxa" w:w="700"/>
            <w:tcBorders>
              <w:top w:val="single" w:color="000000" w:sz="6"/>
              <w:left w:val="single" w:color="000000" w:sz="6"/>
              <w:bottom w:val="single" w:color="000000" w:sz="6"/>
              <w:right w:val="single" w:color="000000" w:sz="6"/>
            </w:tcBorders>
          </w:tcPr>
          <w:p>
            <w:r>
              <w:t xml:space="preserve"/>
            </w:r>
          </w:p>
        </w:tc>
        <w:tc>
          <w:tcPr>
            <w:tcW w:type="dxa" w:w="700"/>
            <w:tcBorders>
              <w:top w:val="single" w:color="000000" w:sz="6"/>
              <w:left w:val="single" w:color="000000" w:sz="6"/>
              <w:bottom w:val="single" w:color="000000" w:sz="6"/>
              <w:right w:val="single" w:color="000000" w:sz="6"/>
            </w:tcBorders>
          </w:tcPr>
          <w:p>
            <w:r>
              <w:t xml:space="preserve"/>
            </w:r>
          </w:p>
        </w:tc>
        <w:tc>
          <w:tcPr>
            <w:tcW w:type="dxa" w:w="700"/>
            <w:tcBorders>
              <w:top w:val="single" w:color="000000" w:sz="6"/>
              <w:left w:val="single" w:color="000000" w:sz="6"/>
              <w:bottom w:val="single" w:color="000000" w:sz="6"/>
              <w:right w:val="single" w:color="000000" w:sz="6"/>
            </w:tcBorders>
          </w:tcPr>
          <w:p>
            <w:r>
              <w:t xml:space="preserve"/>
            </w:r>
          </w:p>
        </w:tc>
        <w:tc>
          <w:tcPr>
            <w:tcW w:type="dxa" w:w="700"/>
            <w:tcBorders>
              <w:top w:val="single" w:color="000000" w:sz="6"/>
              <w:left w:val="single" w:color="000000" w:sz="6"/>
              <w:bottom w:val="single" w:color="000000" w:sz="6"/>
              <w:right w:val="single" w:color="000000" w:sz="6"/>
            </w:tcBorders>
          </w:tcPr>
          <w:p>
            <w:r>
              <w:t xml:space="preserve"/>
            </w:r>
          </w:p>
        </w:tc>
        <w:tc>
          <w:tcPr>
            <w:tcW w:type="dxa" w:w="700"/>
            <w:tcBorders>
              <w:top w:val="single" w:color="000000" w:sz="6"/>
              <w:left w:val="single" w:color="000000" w:sz="6"/>
              <w:bottom w:val="single" w:color="000000" w:sz="6"/>
              <w:right w:val="single" w:color="000000" w:sz="6"/>
            </w:tcBorders>
          </w:tcPr>
          <w:p>
            <w:r>
              <w:t xml:space="preserve"/>
            </w:r>
          </w:p>
        </w:tc>
        <w:tc>
          <w:tcPr>
            <w:tcW w:type="dxa" w:w="700"/>
            <w:tcBorders>
              <w:top w:val="single" w:color="000000" w:sz="6"/>
              <w:left w:val="single" w:color="000000" w:sz="6"/>
              <w:bottom w:val="single" w:color="000000" w:sz="6"/>
              <w:right w:val="single" w:color="000000" w:sz="6"/>
            </w:tcBorders>
          </w:tcPr>
          <w:p>
            <w:r>
              <w:t xml:space="preserve"/>
            </w:r>
          </w:p>
        </w:tc>
      </w:tr>
      <w:tr>
        <w:tc>
          <w:tcPr>
            <w:tcW w:type="dxa" w:w="2700"/>
            <w:tcBorders>
              <w:top w:val="single" w:color="000000" w:sz="6"/>
              <w:left w:val="single" w:color="000000" w:sz="6"/>
              <w:bottom w:val="single" w:color="000000" w:sz="6"/>
              <w:right w:val="single" w:color="000000" w:sz="6"/>
            </w:tcBorders>
            <w:shd w:fill="F1F8E9" w:color="F1F8E9" w:val="solid"/>
            <w:vAlign w:val="center"/>
          </w:tcPr>
          <w:p>
            <w:pPr>
              <w:jc w:val="left"/>
            </w:pPr>
            <w:r>
              <w:rPr>
                <w:rFonts w:ascii="Times New Roman" w:cs="Times New Roman" w:eastAsia="Times New Roman" w:hAnsi="Times New Roman"/>
                <w:sz w:val="20"/>
                <w:szCs w:val="20"/>
              </w:rPr>
              <w:t xml:space="preserve">3. System Analysis</w:t>
            </w:r>
          </w:p>
        </w:tc>
        <w:tc>
          <w:tcPr>
            <w:tcW w:type="dxa" w:w="700"/>
            <w:tcBorders>
              <w:top w:val="single" w:color="000000" w:sz="6"/>
              <w:left w:val="single" w:color="000000" w:sz="6"/>
              <w:bottom w:val="single" w:color="000000" w:sz="6"/>
              <w:right w:val="single" w:color="000000" w:sz="6"/>
            </w:tcBorders>
            <w:shd w:fill="F1F8E9" w:color="F1F8E9" w:val="solid"/>
          </w:tcPr>
          <w:p>
            <w:r>
              <w:t xml:space="preserve"/>
            </w:r>
          </w:p>
        </w:tc>
        <w:tc>
          <w:tcPr>
            <w:tcW w:type="dxa" w:w="700"/>
            <w:tcBorders>
              <w:top w:val="single" w:color="000000" w:sz="6"/>
              <w:left w:val="single" w:color="000000" w:sz="6"/>
              <w:bottom w:val="single" w:color="000000" w:sz="6"/>
              <w:right w:val="single" w:color="000000" w:sz="6"/>
            </w:tcBorders>
            <w:shd w:fill="388E3C" w:color="388E3C" w:val="solid"/>
          </w:tcPr>
          <w:p>
            <w:r>
              <w:t xml:space="preserve"/>
            </w:r>
          </w:p>
        </w:tc>
        <w:tc>
          <w:tcPr>
            <w:tcW w:type="dxa" w:w="700"/>
            <w:tcBorders>
              <w:top w:val="single" w:color="000000" w:sz="6"/>
              <w:left w:val="single" w:color="000000" w:sz="6"/>
              <w:bottom w:val="single" w:color="000000" w:sz="6"/>
              <w:right w:val="single" w:color="000000" w:sz="6"/>
            </w:tcBorders>
            <w:shd w:fill="388E3C" w:color="388E3C" w:val="solid"/>
          </w:tcPr>
          <w:p>
            <w:r>
              <w:t xml:space="preserve"/>
            </w:r>
          </w:p>
        </w:tc>
        <w:tc>
          <w:tcPr>
            <w:tcW w:type="dxa" w:w="700"/>
            <w:tcBorders>
              <w:top w:val="single" w:color="000000" w:sz="6"/>
              <w:left w:val="single" w:color="000000" w:sz="6"/>
              <w:bottom w:val="single" w:color="000000" w:sz="6"/>
              <w:right w:val="single" w:color="000000" w:sz="6"/>
            </w:tcBorders>
            <w:shd w:fill="F1F8E9" w:color="F1F8E9" w:val="solid"/>
          </w:tcPr>
          <w:p>
            <w:r>
              <w:t xml:space="preserve"/>
            </w:r>
          </w:p>
        </w:tc>
        <w:tc>
          <w:tcPr>
            <w:tcW w:type="dxa" w:w="700"/>
            <w:tcBorders>
              <w:top w:val="single" w:color="000000" w:sz="6"/>
              <w:left w:val="single" w:color="000000" w:sz="6"/>
              <w:bottom w:val="single" w:color="000000" w:sz="6"/>
              <w:right w:val="single" w:color="000000" w:sz="6"/>
            </w:tcBorders>
            <w:shd w:fill="F1F8E9" w:color="F1F8E9" w:val="solid"/>
          </w:tcPr>
          <w:p>
            <w:r>
              <w:t xml:space="preserve"/>
            </w:r>
          </w:p>
        </w:tc>
        <w:tc>
          <w:tcPr>
            <w:tcW w:type="dxa" w:w="700"/>
            <w:tcBorders>
              <w:top w:val="single" w:color="000000" w:sz="6"/>
              <w:left w:val="single" w:color="000000" w:sz="6"/>
              <w:bottom w:val="single" w:color="000000" w:sz="6"/>
              <w:right w:val="single" w:color="000000" w:sz="6"/>
            </w:tcBorders>
            <w:shd w:fill="F1F8E9" w:color="F1F8E9" w:val="solid"/>
          </w:tcPr>
          <w:p>
            <w:r>
              <w:t xml:space="preserve"/>
            </w:r>
          </w:p>
        </w:tc>
        <w:tc>
          <w:tcPr>
            <w:tcW w:type="dxa" w:w="700"/>
            <w:tcBorders>
              <w:top w:val="single" w:color="000000" w:sz="6"/>
              <w:left w:val="single" w:color="000000" w:sz="6"/>
              <w:bottom w:val="single" w:color="000000" w:sz="6"/>
              <w:right w:val="single" w:color="000000" w:sz="6"/>
            </w:tcBorders>
            <w:shd w:fill="F1F8E9" w:color="F1F8E9" w:val="solid"/>
          </w:tcPr>
          <w:p>
            <w:r>
              <w:t xml:space="preserve"/>
            </w:r>
          </w:p>
        </w:tc>
        <w:tc>
          <w:tcPr>
            <w:tcW w:type="dxa" w:w="700"/>
            <w:tcBorders>
              <w:top w:val="single" w:color="000000" w:sz="6"/>
              <w:left w:val="single" w:color="000000" w:sz="6"/>
              <w:bottom w:val="single" w:color="000000" w:sz="6"/>
              <w:right w:val="single" w:color="000000" w:sz="6"/>
            </w:tcBorders>
            <w:shd w:fill="F1F8E9" w:color="F1F8E9" w:val="solid"/>
          </w:tcPr>
          <w:p>
            <w:r>
              <w:t xml:space="preserve"/>
            </w:r>
          </w:p>
        </w:tc>
      </w:tr>
      <w:tr>
        <w:tc>
          <w:tcPr>
            <w:tcW w:type="dxa" w:w="2700"/>
            <w:tcBorders>
              <w:top w:val="single" w:color="000000" w:sz="6"/>
              <w:left w:val="single" w:color="000000" w:sz="6"/>
              <w:bottom w:val="single" w:color="000000" w:sz="6"/>
              <w:right w:val="single" w:color="000000" w:sz="6"/>
            </w:tcBorders>
            <w:vAlign w:val="center"/>
          </w:tcPr>
          <w:p>
            <w:pPr>
              <w:jc w:val="left"/>
            </w:pPr>
            <w:r>
              <w:rPr>
                <w:rFonts w:ascii="Times New Roman" w:cs="Times New Roman" w:eastAsia="Times New Roman" w:hAnsi="Times New Roman"/>
                <w:sz w:val="20"/>
                <w:szCs w:val="20"/>
              </w:rPr>
              <w:t xml:space="preserve">4. System Design</w:t>
            </w:r>
          </w:p>
        </w:tc>
        <w:tc>
          <w:tcPr>
            <w:tcW w:type="dxa" w:w="700"/>
            <w:tcBorders>
              <w:top w:val="single" w:color="000000" w:sz="6"/>
              <w:left w:val="single" w:color="000000" w:sz="6"/>
              <w:bottom w:val="single" w:color="000000" w:sz="6"/>
              <w:right w:val="single" w:color="000000" w:sz="6"/>
            </w:tcBorders>
          </w:tcPr>
          <w:p>
            <w:r>
              <w:t xml:space="preserve"/>
            </w:r>
          </w:p>
        </w:tc>
        <w:tc>
          <w:tcPr>
            <w:tcW w:type="dxa" w:w="700"/>
            <w:tcBorders>
              <w:top w:val="single" w:color="000000" w:sz="6"/>
              <w:left w:val="single" w:color="000000" w:sz="6"/>
              <w:bottom w:val="single" w:color="000000" w:sz="6"/>
              <w:right w:val="single" w:color="000000" w:sz="6"/>
            </w:tcBorders>
          </w:tcPr>
          <w:p>
            <w:r>
              <w:t xml:space="preserve"/>
            </w:r>
          </w:p>
        </w:tc>
        <w:tc>
          <w:tcPr>
            <w:tcW w:type="dxa" w:w="700"/>
            <w:tcBorders>
              <w:top w:val="single" w:color="000000" w:sz="6"/>
              <w:left w:val="single" w:color="000000" w:sz="6"/>
              <w:bottom w:val="single" w:color="000000" w:sz="6"/>
              <w:right w:val="single" w:color="000000" w:sz="6"/>
            </w:tcBorders>
            <w:shd w:fill="66BB6A" w:color="66BB6A" w:val="solid"/>
          </w:tcPr>
          <w:p>
            <w:r>
              <w:t xml:space="preserve"/>
            </w:r>
          </w:p>
        </w:tc>
        <w:tc>
          <w:tcPr>
            <w:tcW w:type="dxa" w:w="700"/>
            <w:tcBorders>
              <w:top w:val="single" w:color="000000" w:sz="6"/>
              <w:left w:val="single" w:color="000000" w:sz="6"/>
              <w:bottom w:val="single" w:color="000000" w:sz="6"/>
              <w:right w:val="single" w:color="000000" w:sz="6"/>
            </w:tcBorders>
            <w:shd w:fill="66BB6A" w:color="66BB6A" w:val="solid"/>
          </w:tcPr>
          <w:p>
            <w:r>
              <w:t xml:space="preserve"/>
            </w:r>
          </w:p>
        </w:tc>
        <w:tc>
          <w:tcPr>
            <w:tcW w:type="dxa" w:w="700"/>
            <w:tcBorders>
              <w:top w:val="single" w:color="000000" w:sz="6"/>
              <w:left w:val="single" w:color="000000" w:sz="6"/>
              <w:bottom w:val="single" w:color="000000" w:sz="6"/>
              <w:right w:val="single" w:color="000000" w:sz="6"/>
            </w:tcBorders>
          </w:tcPr>
          <w:p>
            <w:r>
              <w:t xml:space="preserve"/>
            </w:r>
          </w:p>
        </w:tc>
        <w:tc>
          <w:tcPr>
            <w:tcW w:type="dxa" w:w="700"/>
            <w:tcBorders>
              <w:top w:val="single" w:color="000000" w:sz="6"/>
              <w:left w:val="single" w:color="000000" w:sz="6"/>
              <w:bottom w:val="single" w:color="000000" w:sz="6"/>
              <w:right w:val="single" w:color="000000" w:sz="6"/>
            </w:tcBorders>
          </w:tcPr>
          <w:p>
            <w:r>
              <w:t xml:space="preserve"/>
            </w:r>
          </w:p>
        </w:tc>
        <w:tc>
          <w:tcPr>
            <w:tcW w:type="dxa" w:w="700"/>
            <w:tcBorders>
              <w:top w:val="single" w:color="000000" w:sz="6"/>
              <w:left w:val="single" w:color="000000" w:sz="6"/>
              <w:bottom w:val="single" w:color="000000" w:sz="6"/>
              <w:right w:val="single" w:color="000000" w:sz="6"/>
            </w:tcBorders>
          </w:tcPr>
          <w:p>
            <w:r>
              <w:t xml:space="preserve"/>
            </w:r>
          </w:p>
        </w:tc>
        <w:tc>
          <w:tcPr>
            <w:tcW w:type="dxa" w:w="700"/>
            <w:tcBorders>
              <w:top w:val="single" w:color="000000" w:sz="6"/>
              <w:left w:val="single" w:color="000000" w:sz="6"/>
              <w:bottom w:val="single" w:color="000000" w:sz="6"/>
              <w:right w:val="single" w:color="000000" w:sz="6"/>
            </w:tcBorders>
          </w:tcPr>
          <w:p>
            <w:r>
              <w:t xml:space="preserve"/>
            </w:r>
          </w:p>
        </w:tc>
      </w:tr>
      <w:tr>
        <w:tc>
          <w:tcPr>
            <w:tcW w:type="dxa" w:w="2700"/>
            <w:tcBorders>
              <w:top w:val="single" w:color="000000" w:sz="6"/>
              <w:left w:val="single" w:color="000000" w:sz="6"/>
              <w:bottom w:val="single" w:color="000000" w:sz="6"/>
              <w:right w:val="single" w:color="000000" w:sz="6"/>
            </w:tcBorders>
            <w:shd w:fill="F1F8E9" w:color="F1F8E9" w:val="solid"/>
            <w:vAlign w:val="center"/>
          </w:tcPr>
          <w:p>
            <w:pPr>
              <w:jc w:val="left"/>
            </w:pPr>
            <w:r>
              <w:rPr>
                <w:rFonts w:ascii="Times New Roman" w:cs="Times New Roman" w:eastAsia="Times New Roman" w:hAnsi="Times New Roman"/>
                <w:sz w:val="20"/>
                <w:szCs w:val="20"/>
              </w:rPr>
              <w:t xml:space="preserve">5. Development</w:t>
            </w:r>
          </w:p>
        </w:tc>
        <w:tc>
          <w:tcPr>
            <w:tcW w:type="dxa" w:w="700"/>
            <w:tcBorders>
              <w:top w:val="single" w:color="000000" w:sz="6"/>
              <w:left w:val="single" w:color="000000" w:sz="6"/>
              <w:bottom w:val="single" w:color="000000" w:sz="6"/>
              <w:right w:val="single" w:color="000000" w:sz="6"/>
            </w:tcBorders>
            <w:shd w:fill="F1F8E9" w:color="F1F8E9" w:val="solid"/>
          </w:tcPr>
          <w:p>
            <w:r>
              <w:t xml:space="preserve"/>
            </w:r>
          </w:p>
        </w:tc>
        <w:tc>
          <w:tcPr>
            <w:tcW w:type="dxa" w:w="700"/>
            <w:tcBorders>
              <w:top w:val="single" w:color="000000" w:sz="6"/>
              <w:left w:val="single" w:color="000000" w:sz="6"/>
              <w:bottom w:val="single" w:color="000000" w:sz="6"/>
              <w:right w:val="single" w:color="000000" w:sz="6"/>
            </w:tcBorders>
            <w:shd w:fill="F1F8E9" w:color="F1F8E9" w:val="solid"/>
          </w:tcPr>
          <w:p>
            <w:r>
              <w:t xml:space="preserve"/>
            </w:r>
          </w:p>
        </w:tc>
        <w:tc>
          <w:tcPr>
            <w:tcW w:type="dxa" w:w="700"/>
            <w:tcBorders>
              <w:top w:val="single" w:color="000000" w:sz="6"/>
              <w:left w:val="single" w:color="000000" w:sz="6"/>
              <w:bottom w:val="single" w:color="000000" w:sz="6"/>
              <w:right w:val="single" w:color="000000" w:sz="6"/>
            </w:tcBorders>
            <w:shd w:fill="F1F8E9" w:color="F1F8E9" w:val="solid"/>
          </w:tcPr>
          <w:p>
            <w:r>
              <w:t xml:space="preserve"/>
            </w:r>
          </w:p>
        </w:tc>
        <w:tc>
          <w:tcPr>
            <w:tcW w:type="dxa" w:w="700"/>
            <w:tcBorders>
              <w:top w:val="single" w:color="000000" w:sz="6"/>
              <w:left w:val="single" w:color="000000" w:sz="6"/>
              <w:bottom w:val="single" w:color="000000" w:sz="6"/>
              <w:right w:val="single" w:color="000000" w:sz="6"/>
            </w:tcBorders>
            <w:shd w:fill="388E3C" w:color="388E3C" w:val="solid"/>
          </w:tcPr>
          <w:p>
            <w:r>
              <w:t xml:space="preserve"/>
            </w:r>
          </w:p>
        </w:tc>
        <w:tc>
          <w:tcPr>
            <w:tcW w:type="dxa" w:w="700"/>
            <w:tcBorders>
              <w:top w:val="single" w:color="000000" w:sz="6"/>
              <w:left w:val="single" w:color="000000" w:sz="6"/>
              <w:bottom w:val="single" w:color="000000" w:sz="6"/>
              <w:right w:val="single" w:color="000000" w:sz="6"/>
            </w:tcBorders>
            <w:shd w:fill="388E3C" w:color="388E3C" w:val="solid"/>
          </w:tcPr>
          <w:p>
            <w:r>
              <w:t xml:space="preserve"/>
            </w:r>
          </w:p>
        </w:tc>
        <w:tc>
          <w:tcPr>
            <w:tcW w:type="dxa" w:w="700"/>
            <w:tcBorders>
              <w:top w:val="single" w:color="000000" w:sz="6"/>
              <w:left w:val="single" w:color="000000" w:sz="6"/>
              <w:bottom w:val="single" w:color="000000" w:sz="6"/>
              <w:right w:val="single" w:color="000000" w:sz="6"/>
            </w:tcBorders>
            <w:shd w:fill="388E3C" w:color="388E3C" w:val="solid"/>
          </w:tcPr>
          <w:p>
            <w:r>
              <w:t xml:space="preserve"/>
            </w:r>
          </w:p>
        </w:tc>
        <w:tc>
          <w:tcPr>
            <w:tcW w:type="dxa" w:w="700"/>
            <w:tcBorders>
              <w:top w:val="single" w:color="000000" w:sz="6"/>
              <w:left w:val="single" w:color="000000" w:sz="6"/>
              <w:bottom w:val="single" w:color="000000" w:sz="6"/>
              <w:right w:val="single" w:color="000000" w:sz="6"/>
            </w:tcBorders>
            <w:shd w:fill="F1F8E9" w:color="F1F8E9" w:val="solid"/>
          </w:tcPr>
          <w:p>
            <w:r>
              <w:t xml:space="preserve"/>
            </w:r>
          </w:p>
        </w:tc>
        <w:tc>
          <w:tcPr>
            <w:tcW w:type="dxa" w:w="700"/>
            <w:tcBorders>
              <w:top w:val="single" w:color="000000" w:sz="6"/>
              <w:left w:val="single" w:color="000000" w:sz="6"/>
              <w:bottom w:val="single" w:color="000000" w:sz="6"/>
              <w:right w:val="single" w:color="000000" w:sz="6"/>
            </w:tcBorders>
            <w:shd w:fill="F1F8E9" w:color="F1F8E9" w:val="solid"/>
          </w:tcPr>
          <w:p>
            <w:r>
              <w:t xml:space="preserve"/>
            </w:r>
          </w:p>
        </w:tc>
      </w:tr>
      <w:tr>
        <w:tc>
          <w:tcPr>
            <w:tcW w:type="dxa" w:w="2700"/>
            <w:tcBorders>
              <w:top w:val="single" w:color="000000" w:sz="6"/>
              <w:left w:val="single" w:color="000000" w:sz="6"/>
              <w:bottom w:val="single" w:color="000000" w:sz="6"/>
              <w:right w:val="single" w:color="000000" w:sz="6"/>
            </w:tcBorders>
            <w:vAlign w:val="center"/>
          </w:tcPr>
          <w:p>
            <w:pPr>
              <w:jc w:val="left"/>
            </w:pPr>
            <w:r>
              <w:rPr>
                <w:rFonts w:ascii="Times New Roman" w:cs="Times New Roman" w:eastAsia="Times New Roman" w:hAnsi="Times New Roman"/>
                <w:sz w:val="20"/>
                <w:szCs w:val="20"/>
              </w:rPr>
              <w:t xml:space="preserve">6. Testing &amp; QA</w:t>
            </w:r>
          </w:p>
        </w:tc>
        <w:tc>
          <w:tcPr>
            <w:tcW w:type="dxa" w:w="700"/>
            <w:tcBorders>
              <w:top w:val="single" w:color="000000" w:sz="6"/>
              <w:left w:val="single" w:color="000000" w:sz="6"/>
              <w:bottom w:val="single" w:color="000000" w:sz="6"/>
              <w:right w:val="single" w:color="000000" w:sz="6"/>
            </w:tcBorders>
          </w:tcPr>
          <w:p>
            <w:r>
              <w:t xml:space="preserve"/>
            </w:r>
          </w:p>
        </w:tc>
        <w:tc>
          <w:tcPr>
            <w:tcW w:type="dxa" w:w="700"/>
            <w:tcBorders>
              <w:top w:val="single" w:color="000000" w:sz="6"/>
              <w:left w:val="single" w:color="000000" w:sz="6"/>
              <w:bottom w:val="single" w:color="000000" w:sz="6"/>
              <w:right w:val="single" w:color="000000" w:sz="6"/>
            </w:tcBorders>
          </w:tcPr>
          <w:p>
            <w:r>
              <w:t xml:space="preserve"/>
            </w:r>
          </w:p>
        </w:tc>
        <w:tc>
          <w:tcPr>
            <w:tcW w:type="dxa" w:w="700"/>
            <w:tcBorders>
              <w:top w:val="single" w:color="000000" w:sz="6"/>
              <w:left w:val="single" w:color="000000" w:sz="6"/>
              <w:bottom w:val="single" w:color="000000" w:sz="6"/>
              <w:right w:val="single" w:color="000000" w:sz="6"/>
            </w:tcBorders>
          </w:tcPr>
          <w:p>
            <w:r>
              <w:t xml:space="preserve"/>
            </w:r>
          </w:p>
        </w:tc>
        <w:tc>
          <w:tcPr>
            <w:tcW w:type="dxa" w:w="700"/>
            <w:tcBorders>
              <w:top w:val="single" w:color="000000" w:sz="6"/>
              <w:left w:val="single" w:color="000000" w:sz="6"/>
              <w:bottom w:val="single" w:color="000000" w:sz="6"/>
              <w:right w:val="single" w:color="000000" w:sz="6"/>
            </w:tcBorders>
          </w:tcPr>
          <w:p>
            <w:r>
              <w:t xml:space="preserve"/>
            </w:r>
          </w:p>
        </w:tc>
        <w:tc>
          <w:tcPr>
            <w:tcW w:type="dxa" w:w="700"/>
            <w:tcBorders>
              <w:top w:val="single" w:color="000000" w:sz="6"/>
              <w:left w:val="single" w:color="000000" w:sz="6"/>
              <w:bottom w:val="single" w:color="000000" w:sz="6"/>
              <w:right w:val="single" w:color="000000" w:sz="6"/>
            </w:tcBorders>
          </w:tcPr>
          <w:p>
            <w:r>
              <w:t xml:space="preserve"/>
            </w:r>
          </w:p>
        </w:tc>
        <w:tc>
          <w:tcPr>
            <w:tcW w:type="dxa" w:w="700"/>
            <w:tcBorders>
              <w:top w:val="single" w:color="000000" w:sz="6"/>
              <w:left w:val="single" w:color="000000" w:sz="6"/>
              <w:bottom w:val="single" w:color="000000" w:sz="6"/>
              <w:right w:val="single" w:color="000000" w:sz="6"/>
            </w:tcBorders>
            <w:shd w:fill="66BB6A" w:color="66BB6A" w:val="solid"/>
          </w:tcPr>
          <w:p>
            <w:r>
              <w:t xml:space="preserve"/>
            </w:r>
          </w:p>
        </w:tc>
        <w:tc>
          <w:tcPr>
            <w:tcW w:type="dxa" w:w="700"/>
            <w:tcBorders>
              <w:top w:val="single" w:color="000000" w:sz="6"/>
              <w:left w:val="single" w:color="000000" w:sz="6"/>
              <w:bottom w:val="single" w:color="000000" w:sz="6"/>
              <w:right w:val="single" w:color="000000" w:sz="6"/>
            </w:tcBorders>
          </w:tcPr>
          <w:p>
            <w:r>
              <w:t xml:space="preserve"/>
            </w:r>
          </w:p>
        </w:tc>
        <w:tc>
          <w:tcPr>
            <w:tcW w:type="dxa" w:w="700"/>
            <w:tcBorders>
              <w:top w:val="single" w:color="000000" w:sz="6"/>
              <w:left w:val="single" w:color="000000" w:sz="6"/>
              <w:bottom w:val="single" w:color="000000" w:sz="6"/>
              <w:right w:val="single" w:color="000000" w:sz="6"/>
            </w:tcBorders>
          </w:tcPr>
          <w:p>
            <w:r>
              <w:t xml:space="preserve"/>
            </w:r>
          </w:p>
        </w:tc>
      </w:tr>
      <w:tr>
        <w:tc>
          <w:tcPr>
            <w:tcW w:type="dxa" w:w="2700"/>
            <w:tcBorders>
              <w:top w:val="single" w:color="000000" w:sz="6"/>
              <w:left w:val="single" w:color="000000" w:sz="6"/>
              <w:bottom w:val="single" w:color="000000" w:sz="6"/>
              <w:right w:val="single" w:color="000000" w:sz="6"/>
            </w:tcBorders>
            <w:shd w:fill="F1F8E9" w:color="F1F8E9" w:val="solid"/>
            <w:vAlign w:val="center"/>
          </w:tcPr>
          <w:p>
            <w:pPr>
              <w:jc w:val="left"/>
            </w:pPr>
            <w:r>
              <w:rPr>
                <w:rFonts w:ascii="Times New Roman" w:cs="Times New Roman" w:eastAsia="Times New Roman" w:hAnsi="Times New Roman"/>
                <w:sz w:val="20"/>
                <w:szCs w:val="20"/>
              </w:rPr>
              <w:t xml:space="preserve">7. Documentation</w:t>
            </w:r>
          </w:p>
        </w:tc>
        <w:tc>
          <w:tcPr>
            <w:tcW w:type="dxa" w:w="700"/>
            <w:tcBorders>
              <w:top w:val="single" w:color="000000" w:sz="6"/>
              <w:left w:val="single" w:color="000000" w:sz="6"/>
              <w:bottom w:val="single" w:color="000000" w:sz="6"/>
              <w:right w:val="single" w:color="000000" w:sz="6"/>
            </w:tcBorders>
            <w:shd w:fill="F1F8E9" w:color="F1F8E9" w:val="solid"/>
          </w:tcPr>
          <w:p>
            <w:r>
              <w:t xml:space="preserve"/>
            </w:r>
          </w:p>
        </w:tc>
        <w:tc>
          <w:tcPr>
            <w:tcW w:type="dxa" w:w="700"/>
            <w:tcBorders>
              <w:top w:val="single" w:color="000000" w:sz="6"/>
              <w:left w:val="single" w:color="000000" w:sz="6"/>
              <w:bottom w:val="single" w:color="000000" w:sz="6"/>
              <w:right w:val="single" w:color="000000" w:sz="6"/>
            </w:tcBorders>
            <w:shd w:fill="F1F8E9" w:color="F1F8E9" w:val="solid"/>
          </w:tcPr>
          <w:p>
            <w:r>
              <w:t xml:space="preserve"/>
            </w:r>
          </w:p>
        </w:tc>
        <w:tc>
          <w:tcPr>
            <w:tcW w:type="dxa" w:w="700"/>
            <w:tcBorders>
              <w:top w:val="single" w:color="000000" w:sz="6"/>
              <w:left w:val="single" w:color="000000" w:sz="6"/>
              <w:bottom w:val="single" w:color="000000" w:sz="6"/>
              <w:right w:val="single" w:color="000000" w:sz="6"/>
            </w:tcBorders>
            <w:shd w:fill="F1F8E9" w:color="F1F8E9" w:val="solid"/>
          </w:tcPr>
          <w:p>
            <w:r>
              <w:t xml:space="preserve"/>
            </w:r>
          </w:p>
        </w:tc>
        <w:tc>
          <w:tcPr>
            <w:tcW w:type="dxa" w:w="700"/>
            <w:tcBorders>
              <w:top w:val="single" w:color="000000" w:sz="6"/>
              <w:left w:val="single" w:color="000000" w:sz="6"/>
              <w:bottom w:val="single" w:color="000000" w:sz="6"/>
              <w:right w:val="single" w:color="000000" w:sz="6"/>
            </w:tcBorders>
            <w:shd w:fill="F1F8E9" w:color="F1F8E9" w:val="solid"/>
          </w:tcPr>
          <w:p>
            <w:r>
              <w:t xml:space="preserve"/>
            </w:r>
          </w:p>
        </w:tc>
        <w:tc>
          <w:tcPr>
            <w:tcW w:type="dxa" w:w="700"/>
            <w:tcBorders>
              <w:top w:val="single" w:color="000000" w:sz="6"/>
              <w:left w:val="single" w:color="000000" w:sz="6"/>
              <w:bottom w:val="single" w:color="000000" w:sz="6"/>
              <w:right w:val="single" w:color="000000" w:sz="6"/>
            </w:tcBorders>
            <w:shd w:fill="388E3C" w:color="388E3C" w:val="solid"/>
          </w:tcPr>
          <w:p>
            <w:r>
              <w:t xml:space="preserve"/>
            </w:r>
          </w:p>
        </w:tc>
        <w:tc>
          <w:tcPr>
            <w:tcW w:type="dxa" w:w="700"/>
            <w:tcBorders>
              <w:top w:val="single" w:color="000000" w:sz="6"/>
              <w:left w:val="single" w:color="000000" w:sz="6"/>
              <w:bottom w:val="single" w:color="000000" w:sz="6"/>
              <w:right w:val="single" w:color="000000" w:sz="6"/>
            </w:tcBorders>
            <w:shd w:fill="388E3C" w:color="388E3C" w:val="solid"/>
          </w:tcPr>
          <w:p>
            <w:r>
              <w:t xml:space="preserve"/>
            </w:r>
          </w:p>
        </w:tc>
        <w:tc>
          <w:tcPr>
            <w:tcW w:type="dxa" w:w="700"/>
            <w:tcBorders>
              <w:top w:val="single" w:color="000000" w:sz="6"/>
              <w:left w:val="single" w:color="000000" w:sz="6"/>
              <w:bottom w:val="single" w:color="000000" w:sz="6"/>
              <w:right w:val="single" w:color="000000" w:sz="6"/>
            </w:tcBorders>
            <w:shd w:fill="388E3C" w:color="388E3C" w:val="solid"/>
          </w:tcPr>
          <w:p>
            <w:r>
              <w:t xml:space="preserve"/>
            </w:r>
          </w:p>
        </w:tc>
        <w:tc>
          <w:tcPr>
            <w:tcW w:type="dxa" w:w="700"/>
            <w:tcBorders>
              <w:top w:val="single" w:color="000000" w:sz="6"/>
              <w:left w:val="single" w:color="000000" w:sz="6"/>
              <w:bottom w:val="single" w:color="000000" w:sz="6"/>
              <w:right w:val="single" w:color="000000" w:sz="6"/>
            </w:tcBorders>
            <w:shd w:fill="F1F8E9" w:color="F1F8E9" w:val="solid"/>
          </w:tcPr>
          <w:p>
            <w:r>
              <w:t xml:space="preserve"/>
            </w:r>
          </w:p>
        </w:tc>
      </w:tr>
      <w:tr>
        <w:tc>
          <w:tcPr>
            <w:tcW w:type="dxa" w:w="2700"/>
            <w:tcBorders>
              <w:top w:val="single" w:color="000000" w:sz="6"/>
              <w:left w:val="single" w:color="000000" w:sz="6"/>
              <w:bottom w:val="single" w:color="000000" w:sz="6"/>
              <w:right w:val="single" w:color="000000" w:sz="6"/>
            </w:tcBorders>
            <w:vAlign w:val="center"/>
          </w:tcPr>
          <w:p>
            <w:pPr>
              <w:jc w:val="left"/>
            </w:pPr>
            <w:r>
              <w:rPr>
                <w:rFonts w:ascii="Times New Roman" w:cs="Times New Roman" w:eastAsia="Times New Roman" w:hAnsi="Times New Roman"/>
                <w:sz w:val="20"/>
                <w:szCs w:val="20"/>
              </w:rPr>
              <w:t xml:space="preserve">8. Final Deployment</w:t>
            </w:r>
          </w:p>
        </w:tc>
        <w:tc>
          <w:tcPr>
            <w:tcW w:type="dxa" w:w="700"/>
            <w:tcBorders>
              <w:top w:val="single" w:color="000000" w:sz="6"/>
              <w:left w:val="single" w:color="000000" w:sz="6"/>
              <w:bottom w:val="single" w:color="000000" w:sz="6"/>
              <w:right w:val="single" w:color="000000" w:sz="6"/>
            </w:tcBorders>
          </w:tcPr>
          <w:p>
            <w:r>
              <w:t xml:space="preserve"/>
            </w:r>
          </w:p>
        </w:tc>
        <w:tc>
          <w:tcPr>
            <w:tcW w:type="dxa" w:w="700"/>
            <w:tcBorders>
              <w:top w:val="single" w:color="000000" w:sz="6"/>
              <w:left w:val="single" w:color="000000" w:sz="6"/>
              <w:bottom w:val="single" w:color="000000" w:sz="6"/>
              <w:right w:val="single" w:color="000000" w:sz="6"/>
            </w:tcBorders>
          </w:tcPr>
          <w:p>
            <w:r>
              <w:t xml:space="preserve"/>
            </w:r>
          </w:p>
        </w:tc>
        <w:tc>
          <w:tcPr>
            <w:tcW w:type="dxa" w:w="700"/>
            <w:tcBorders>
              <w:top w:val="single" w:color="000000" w:sz="6"/>
              <w:left w:val="single" w:color="000000" w:sz="6"/>
              <w:bottom w:val="single" w:color="000000" w:sz="6"/>
              <w:right w:val="single" w:color="000000" w:sz="6"/>
            </w:tcBorders>
          </w:tcPr>
          <w:p>
            <w:r>
              <w:t xml:space="preserve"/>
            </w:r>
          </w:p>
        </w:tc>
        <w:tc>
          <w:tcPr>
            <w:tcW w:type="dxa" w:w="700"/>
            <w:tcBorders>
              <w:top w:val="single" w:color="000000" w:sz="6"/>
              <w:left w:val="single" w:color="000000" w:sz="6"/>
              <w:bottom w:val="single" w:color="000000" w:sz="6"/>
              <w:right w:val="single" w:color="000000" w:sz="6"/>
            </w:tcBorders>
          </w:tcPr>
          <w:p>
            <w:r>
              <w:t xml:space="preserve"/>
            </w:r>
          </w:p>
        </w:tc>
        <w:tc>
          <w:tcPr>
            <w:tcW w:type="dxa" w:w="700"/>
            <w:tcBorders>
              <w:top w:val="single" w:color="000000" w:sz="6"/>
              <w:left w:val="single" w:color="000000" w:sz="6"/>
              <w:bottom w:val="single" w:color="000000" w:sz="6"/>
              <w:right w:val="single" w:color="000000" w:sz="6"/>
            </w:tcBorders>
          </w:tcPr>
          <w:p>
            <w:r>
              <w:t xml:space="preserve"/>
            </w:r>
          </w:p>
        </w:tc>
        <w:tc>
          <w:tcPr>
            <w:tcW w:type="dxa" w:w="700"/>
            <w:tcBorders>
              <w:top w:val="single" w:color="000000" w:sz="6"/>
              <w:left w:val="single" w:color="000000" w:sz="6"/>
              <w:bottom w:val="single" w:color="000000" w:sz="6"/>
              <w:right w:val="single" w:color="000000" w:sz="6"/>
            </w:tcBorders>
          </w:tcPr>
          <w:p>
            <w:r>
              <w:t xml:space="preserve"/>
            </w:r>
          </w:p>
        </w:tc>
        <w:tc>
          <w:tcPr>
            <w:tcW w:type="dxa" w:w="700"/>
            <w:tcBorders>
              <w:top w:val="single" w:color="000000" w:sz="6"/>
              <w:left w:val="single" w:color="000000" w:sz="6"/>
              <w:bottom w:val="single" w:color="000000" w:sz="6"/>
              <w:right w:val="single" w:color="000000" w:sz="6"/>
            </w:tcBorders>
          </w:tcPr>
          <w:p>
            <w:r>
              <w:t xml:space="preserve"/>
            </w:r>
          </w:p>
        </w:tc>
        <w:tc>
          <w:tcPr>
            <w:tcW w:type="dxa" w:w="700"/>
            <w:tcBorders>
              <w:top w:val="single" w:color="000000" w:sz="6"/>
              <w:left w:val="single" w:color="000000" w:sz="6"/>
              <w:bottom w:val="single" w:color="000000" w:sz="6"/>
              <w:right w:val="single" w:color="000000" w:sz="6"/>
            </w:tcBorders>
            <w:shd w:fill="66BB6A" w:color="66BB6A" w:val="solid"/>
          </w:tcPr>
          <w:p>
            <w:r>
              <w:t xml:space="preserve"/>
            </w:r>
          </w:p>
        </w:tc>
      </w:tr>
    </w:tbl>
    <w:p>
      <w:pPr>
        <w:spacing w:after="140" w:before="0"/>
      </w:pPr>
      <w:r>
        <w:t xml:space="preserve"/>
      </w:r>
    </w:p>
    <w:p>
      <w:pPr>
        <w:spacing w:after="200" w:before="0" w:line="360"/>
        <w:ind w:firstLine="720"/>
        <w:jc w:val="both"/>
      </w:pPr>
      <w:r>
        <w:rPr>
          <w:rFonts w:ascii="Times New Roman" w:cs="Times New Roman" w:eastAsia="Times New Roman" w:hAnsi="Times New Roman"/>
          <w:sz w:val="24"/>
          <w:szCs w:val="24"/>
        </w:rPr>
        <w:t xml:space="preserve">The project schedule allocates sufficient time for each phase while maintaining a realistic overall timeline. Requirement gathering and literature review activities are conducted concurrently during February to capitalize on iterative refinement through domain research. System analysis and design phases overlap to allow preliminary design decisions to inform requirements refinement. Development is allocated the longest continuous block from May through July, reflecting its central importance and workload intensity. Testing and quality assurance commence in July alongside final development stages, while documentation activities run in parallel from June onward. Final deployment is scheduled for September 2026 following successful completion of all testing and documentation requirements.</w:t>
      </w:r>
    </w:p>
    <w:p>
      <w:pPr>
        <w:pStyle w:val="Heading1"/>
        <w:spacing w:after="160" w:before="300"/>
      </w:pPr>
      <w:r>
        <w:rPr>
          <w:rFonts w:ascii="Times New Roman" w:cs="Times New Roman" w:eastAsia="Times New Roman" w:hAnsi="Times New Roman"/>
          <w:b/>
          <w:bCs/>
          <w:sz w:val="28"/>
          <w:szCs w:val="28"/>
        </w:rPr>
        <w:t xml:space="preserve">3.4  Hurdles to Optimize the Current System</w:t>
      </w:r>
    </w:p>
    <w:p>
      <w:pPr>
        <w:spacing w:after="200" w:before="0" w:line="360"/>
        <w:ind w:firstLine="720"/>
        <w:jc w:val="both"/>
      </w:pPr>
      <w:r>
        <w:rPr>
          <w:rFonts w:ascii="Times New Roman" w:cs="Times New Roman" w:eastAsia="Times New Roman" w:hAnsi="Times New Roman"/>
          <w:sz w:val="24"/>
          <w:szCs w:val="24"/>
        </w:rPr>
        <w:t xml:space="preserve">The transition from existing manual mango sales processes to the proposed web-based system is expected to encounter several implementation challenges. An understanding of these hurdles and strategies available to address them is essential for realistic project planning and successful deployment.</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User Resistance to Change – Mango sellers who have conducted business through traditional marketplace methods for many years may exhibit reluctance to adopt a new digital platform, particularly if they perceive the learning curve as significant or the benefits as uncertain. This challenge will be mitigated through a comprehensive onboarding and training program delivered in the local language, incorporating step-by-step guided tutorials, video demonstrations, and readily accessible help documentation. A phased rollout strategy that allows sellers to operate across both systems during an initial transition period may further reduce adoption anxiety.</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Limited Digital Literacy Among Sellers – Small-scale mango farmers and vendors in rural areas may possess limited prior experience with web-based applications, creating a potential usability barrier to effective system adoption. The system interface will be designed with particular attention to simplicity and clarity, minimizing the steps required to complete core tasks and using visual icons and plain-language labels to reduce reliance on text-heavy navigation. Community-based training sessions and a dedicated support contact channel will further assist users with limited digital backgrounds.</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Data Migration and Initial Setup – Sellers who have maintained existing product and customer records in informal formats will require assistance transferring this data to the new system during initial setup. A structured data import template and a dedicated onboarding support period during which technical staff assist sellers in populating initial product listings and inventory records will facilitate a smooth migration. A guided product listing creation wizard will further simplify the initial data entry process.</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Internet Connectivity Dependency – The web-based nature of the proposed system requires reliable internet connectivity, which may present challenges for sellers in areas with inconsistent network coverage. While the system cannot resolve underlying infrastructure limitations, the front-end interface will be optimized for performance under low-bandwidth conditions through compressed assets, lazy image loading, and minimal data transfer requirements for core transactional functions. Session state persistence will minimize data loss in the event of brief connectivity interruptions during transaction workflows.</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Security Concerns and User Trust – Prospective users, particularly those unfamiliar with online financial transactions, may harbor concerns about the security of personal data and payment information. These concerns will be addressed through transparent communication of implemented security measures, including prominent display of SSL certificate status, clear privacy policy documentation, and visible trust indicators such as payment gateway security badges. Regular security audits and penetration testing will be conducted prior to and after deployment.</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Budget and Resource Constraints – Developing and deploying a comprehensive web-based system within the constraints of an academic project budget requires careful feature prioritization and judicious technology selection. The use of open-source development frameworks, freely available database management systems, and cost-effective cloud hosting plans will minimize infrastructure expenditure without compromising system quality. The requirements baseline prioritization framework documented in Section 3.3.3 ensures that critical features are delivered within available resources while lower-priority enhancements are deferred.</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Payment Gateway Integration Complexity – Integrating a third-party payment gateway introduces technical complexity related to API configuration, sandbox testing, and compliance with payment security standards. This challenge will be addressed by selecting a provider with comprehensive developer documentation, active community support, and a sandbox testing environment enabling thorough workflow validation before live transactions are processed. Dedicated project schedule time will be allocated for payment integration development and testing.</w:t>
      </w:r>
    </w:p>
    <w:p>
      <w:pPr>
        <w:pStyle w:val="ListParagraph"/>
        <w:numPr>
          <w:ilvl w:val="0"/>
          <w:numId w:val="2"/>
        </w:numPr>
        <w:spacing w:after="120" w:before="60" w:line="360"/>
        <w:jc w:val="both"/>
      </w:pPr>
      <w:r>
        <w:rPr>
          <w:rFonts w:ascii="Times New Roman" w:cs="Times New Roman" w:eastAsia="Times New Roman" w:hAnsi="Times New Roman"/>
          <w:sz w:val="24"/>
          <w:szCs w:val="24"/>
        </w:rPr>
        <w:t xml:space="preserve">System Maintenance and Long-Term Sustainability – Ensuring that the system remains operational, secure, and functionally relevant after deployment requires a commitment to ongoing maintenance, security patching, and feature enhancement. A maintenance plan encompassing scheduled database backups, regular dependency updates, and a defined process for addressing user-reported issues will be established prior to deployment. The modular codebase architecture ensures that individual system components can be updated or replaced without disrupting overall platform operations, supporting long-term maintainability.</w:t>
      </w:r>
    </w:p>
    <w:p>
      <w:pPr>
        <w:pStyle w:val="Heading1"/>
        <w:spacing w:after="160" w:before="300"/>
      </w:pPr>
      <w:r>
        <w:rPr>
          <w:rFonts w:ascii="Times New Roman" w:cs="Times New Roman" w:eastAsia="Times New Roman" w:hAnsi="Times New Roman"/>
          <w:b/>
          <w:bCs/>
          <w:sz w:val="28"/>
          <w:szCs w:val="28"/>
        </w:rPr>
        <w:t xml:space="preserve">3.5  Chapter Summary</w:t>
      </w:r>
    </w:p>
    <w:p>
      <w:pPr>
        <w:spacing w:after="200" w:before="0" w:line="360"/>
        <w:ind w:firstLine="720"/>
        <w:jc w:val="both"/>
      </w:pPr>
      <w:r>
        <w:rPr>
          <w:rFonts w:ascii="Times New Roman" w:cs="Times New Roman" w:eastAsia="Times New Roman" w:hAnsi="Times New Roman"/>
          <w:sz w:val="24"/>
          <w:szCs w:val="24"/>
        </w:rPr>
        <w:t xml:space="preserve">This chapter has presented a comprehensive analysis of the proposed Online Mango Sales and Management System, covering its detailed operational description, stakeholder structure, domain context, functional and non-functional requirements, project scheduling, and anticipated implementation challenges. The detailed system description established how the platform will operate through three distinct role-based interfaces serving administrators, sellers, and customers, with fully automated workflows for order processing, inventory management, payment handling, and report generation. The system design directly addresses each operational deficiency identified in Chapter 2 by replacing fragmented manual processes with integrated digital functions that deliver measurable improvements in efficiency, accuracy, security, and market accessibility for all stakeholder groups.</w:t>
      </w:r>
    </w:p>
    <w:p>
      <w:pPr>
        <w:spacing w:after="200" w:before="0" w:line="360"/>
        <w:ind w:firstLine="720"/>
        <w:jc w:val="both"/>
      </w:pPr>
      <w:r>
        <w:rPr>
          <w:rFonts w:ascii="Times New Roman" w:cs="Times New Roman" w:eastAsia="Times New Roman" w:hAnsi="Times New Roman"/>
          <w:sz w:val="24"/>
          <w:szCs w:val="24"/>
        </w:rPr>
        <w:t xml:space="preserve">The requirements engineering section formalized the system’s functional and non-functional specifications through a structured requirements baseline comprising twenty documented requirements prioritized by implementation criticality. The twelve functional requirements encompass all core transactional and management capabilities of the platform, while the eight non-functional requirements establish the performance, security, usability, scalability, and reliability standards the system must satisfy. The project Gantt chart provides a realistic development schedule spanning February to September 2026, allocating dedicated time blocks for requirement gathering, system analysis, design, development, testing, documentation, and deployment in a sequence that accounts for inter-phase dependencies and resource constraints.</w:t>
      </w:r>
    </w:p>
    <w:p>
      <w:pPr>
        <w:spacing w:after="200" w:before="0" w:line="360"/>
        <w:ind w:firstLine="720"/>
        <w:jc w:val="both"/>
      </w:pPr>
      <w:r>
        <w:rPr>
          <w:rFonts w:ascii="Times New Roman" w:cs="Times New Roman" w:eastAsia="Times New Roman" w:hAnsi="Times New Roman"/>
          <w:sz w:val="24"/>
          <w:szCs w:val="24"/>
        </w:rPr>
        <w:t xml:space="preserve">The identification and analysis of eight significant implementation hurdles, together with the proposed mitigation strategies for each, demonstrates a thorough and realistic assessment of the challenges that must be managed to achieve successful system deployment. Issues of user resistance, digital literacy limitations, internet dependency, security concerns, and budget constraints have all been acknowledged and addressed with practical, project-specific solutions. The analysis presented in this chapter provides the methodological and analytical foundation upon which the system design, development, and testing activities described in subsequent chapters will be conducted, ensuring all work remains aligned with formally documented requirements and project objectives established throughout Chapters 1, 2, and 3.</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Times New Roman" w:cs="Times New Roman" w:eastAsia="Times New Roman" w:hAnsi="Times New Roman"/>
      <w:b/>
      <w:bCs/>
      <w:sz w:val="28"/>
      <w:szCs w:val="28"/>
    </w:rPr>
  </w:style>
  <w:style w:type="paragraph" w:styleId="Heading2">
    <w:name w:val="Heading 2"/>
    <w:basedOn w:val="Normal"/>
    <w:next w:val="Normal"/>
    <w:pPr>
      <w:spacing w:after="120" w:before="240"/>
      <w:outlineLvl w:val="1"/>
    </w:pPr>
    <w:rPr>
      <w:rFonts w:ascii="Times New Roman" w:cs="Times New Roman" w:eastAsia="Times New Roman" w:hAnsi="Times New Roman"/>
      <w:b/>
      <w:bCs/>
      <w:sz w:val="26"/>
      <w:szCs w:val="26"/>
    </w:rPr>
  </w:style>
  <w:style w:type="paragraph" w:styleId="Heading3">
    <w:name w:val="Heading 3"/>
    <w:basedOn w:val="Normal"/>
    <w:next w:val="Normal"/>
    <w:pPr>
      <w:spacing w:after="10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2026-06-19T13:09:03.402Z</dcterms:created>
  <dcterms:modified xsi:type="dcterms:W3CDTF">2026-06-19T13:09:03.416Z</dcterms:modified>
</cp:coreProperties>
</file>

<file path=docProps/custom.xml><?xml version="1.0" encoding="utf-8"?>
<Properties xmlns="http://schemas.openxmlformats.org/officeDocument/2006/custom-properties" xmlns:vt="http://schemas.openxmlformats.org/officeDocument/2006/docPropsVTypes"/>
</file>