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2"/>
          <w:szCs w:val="32"/>
        </w:rPr>
        <w:t xml:space="preserve">CHAPTER 5</w:t>
      </w:r>
    </w:p>
    <w:p>
      <w:pPr>
        <w:spacing w:after="640" w:before="0"/>
        <w:jc w:val="center"/>
      </w:pPr>
      <w:r>
        <w:rPr>
          <w:rFonts w:ascii="Times New Roman" w:cs="Times New Roman" w:eastAsia="Times New Roman" w:hAnsi="Times New Roman"/>
          <w:b/>
          <w:bCs/>
          <w:sz w:val="28"/>
          <w:szCs w:val="28"/>
        </w:rPr>
        <w:t xml:space="preserve">TESTING AND EVALUATION</w:t>
      </w:r>
    </w:p>
    <w:p>
      <w:pPr>
        <w:pStyle w:val="Heading1"/>
        <w:spacing w:after="160" w:before="320"/>
      </w:pPr>
      <w:r>
        <w:rPr>
          <w:rFonts w:ascii="Times New Roman" w:cs="Times New Roman" w:eastAsia="Times New Roman" w:hAnsi="Times New Roman"/>
          <w:b/>
          <w:bCs/>
          <w:color w:val="000000"/>
          <w:sz w:val="28"/>
          <w:szCs w:val="28"/>
        </w:rPr>
        <w:t xml:space="preserve">5.1  Testing Strategy</w:t>
      </w:r>
    </w:p>
    <w:p>
      <w:pPr>
        <w:spacing w:after="200" w:before="0" w:line="360"/>
        <w:ind w:firstLine="720"/>
        <w:jc w:val="both"/>
      </w:pPr>
      <w:r>
        <w:rPr>
          <w:rFonts w:ascii="Times New Roman" w:cs="Times New Roman" w:eastAsia="Times New Roman" w:hAnsi="Times New Roman"/>
          <w:sz w:val="24"/>
          <w:szCs w:val="24"/>
        </w:rPr>
        <w:t xml:space="preserve">Because MTNMANGOES is a Laravel API backend consumed by a standalone JavaScript single-page front end (mtnmangoes_full.html), testing was organized around four layers rather than an automated unit-test suite alone: a full audit of the frontend-to-backend contract, structured manual functional testing across the system's three roles, a security-focused review of the payment flow, and integration testing across module boundaries. The contract audit checked every entry in the SPA's ENDPOINTS map against the corresponding route in routes/api.php for path, HTTP verb, and payload shape, since a single mismatch on either side silently breaks a feature without raising a compile-time error in either language.</w:t>
      </w:r>
    </w:p>
    <w:p>
      <w:pPr>
        <w:spacing w:after="200" w:before="0" w:line="360"/>
        <w:ind w:firstLine="720"/>
        <w:jc w:val="both"/>
      </w:pPr>
      <w:r>
        <w:rPr>
          <w:rFonts w:ascii="Times New Roman" w:cs="Times New Roman" w:eastAsia="Times New Roman" w:hAnsi="Times New Roman"/>
          <w:sz w:val="24"/>
          <w:szCs w:val="24"/>
        </w:rPr>
        <w:t xml:space="preserve">This audit was the single most productive testing activity undertaken: it surfaced seven concrete defects before manual testing began, three of which are reproduced as test cases in Table 5.1 below because they represent the class of bug most likely to recur if the frontend and backend are ever extended independently of one another.</w:t>
      </w:r>
    </w:p>
    <w:p>
      <w:pPr>
        <w:pStyle w:val="Heading1"/>
        <w:spacing w:after="160" w:before="320"/>
      </w:pPr>
      <w:r>
        <w:rPr>
          <w:rFonts w:ascii="Times New Roman" w:cs="Times New Roman" w:eastAsia="Times New Roman" w:hAnsi="Times New Roman"/>
          <w:b/>
          <w:bCs/>
          <w:color w:val="000000"/>
          <w:sz w:val="28"/>
          <w:szCs w:val="28"/>
        </w:rPr>
        <w:t xml:space="preserve">5.2  Functional Test Cases</w:t>
      </w:r>
    </w:p>
    <w:p>
      <w:pPr>
        <w:spacing w:after="200" w:before="100"/>
      </w:pPr>
      <w:r>
        <w:rPr>
          <w:rFonts w:ascii="Times New Roman" w:cs="Times New Roman" w:eastAsia="Times New Roman" w:hAnsi="Times New Roman"/>
          <w:b/>
          <w:bCs/>
          <w:sz w:val="22"/>
          <w:szCs w:val="22"/>
        </w:rPr>
        <w:t xml:space="preserve">Table 5.1: Functional Test Cases and Results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600"/>
        <w:gridCol w:w="1800"/>
        <w:gridCol w:w="2900"/>
        <w:gridCol w:w="2900"/>
        <w:gridCol w:w="800"/>
      </w:tblGrid>
      <w:tr>
        <w:trPr>
          <w:tblHeader/>
        </w:trPr>
        <w:tc>
          <w:tcPr>
            <w:tcW w:type="dxa" w:w="600"/>
            <w:shd w:fill="D9D9D9" w:val="clear"/>
          </w:tcPr>
          <w:p>
            <w:pPr>
              <w:spacing w:after="40" w:before="40" w:line="280"/>
            </w:pPr>
            <w:r>
              <w:rPr>
                <w:rFonts w:ascii="Times New Roman" w:cs="Times New Roman" w:eastAsia="Times New Roman" w:hAnsi="Times New Roman"/>
                <w:b/>
                <w:bCs/>
                <w:sz w:val="20"/>
                <w:szCs w:val="20"/>
              </w:rPr>
              <w:t xml:space="preserve">ID</w:t>
            </w:r>
          </w:p>
        </w:tc>
        <w:tc>
          <w:tcPr>
            <w:tcW w:type="dxa" w:w="1800"/>
            <w:shd w:fill="D9D9D9" w:val="clear"/>
          </w:tcPr>
          <w:p>
            <w:pPr>
              <w:spacing w:after="40" w:before="40" w:line="280"/>
            </w:pPr>
            <w:r>
              <w:rPr>
                <w:rFonts w:ascii="Times New Roman" w:cs="Times New Roman" w:eastAsia="Times New Roman" w:hAnsi="Times New Roman"/>
                <w:b/>
                <w:bCs/>
                <w:sz w:val="20"/>
                <w:szCs w:val="20"/>
              </w:rPr>
              <w:t xml:space="preserve">Test Case</w:t>
            </w:r>
          </w:p>
        </w:tc>
        <w:tc>
          <w:tcPr>
            <w:tcW w:type="dxa" w:w="2900"/>
            <w:shd w:fill="D9D9D9" w:val="clear"/>
          </w:tcPr>
          <w:p>
            <w:pPr>
              <w:spacing w:after="40" w:before="40" w:line="280"/>
            </w:pPr>
            <w:r>
              <w:rPr>
                <w:rFonts w:ascii="Times New Roman" w:cs="Times New Roman" w:eastAsia="Times New Roman" w:hAnsi="Times New Roman"/>
                <w:b/>
                <w:bCs/>
                <w:sz w:val="20"/>
                <w:szCs w:val="20"/>
              </w:rPr>
              <w:t xml:space="preserve">Steps</w:t>
            </w:r>
          </w:p>
        </w:tc>
        <w:tc>
          <w:tcPr>
            <w:tcW w:type="dxa" w:w="2900"/>
            <w:shd w:fill="D9D9D9" w:val="clear"/>
          </w:tcPr>
          <w:p>
            <w:pPr>
              <w:spacing w:after="40" w:before="40" w:line="280"/>
            </w:pPr>
            <w:r>
              <w:rPr>
                <w:rFonts w:ascii="Times New Roman" w:cs="Times New Roman" w:eastAsia="Times New Roman" w:hAnsi="Times New Roman"/>
                <w:b/>
                <w:bCs/>
                <w:sz w:val="20"/>
                <w:szCs w:val="20"/>
              </w:rPr>
              <w:t xml:space="preserve">Expected Result</w:t>
            </w:r>
          </w:p>
        </w:tc>
        <w:tc>
          <w:tcPr>
            <w:tcW w:type="dxa" w:w="800"/>
            <w:shd w:fill="D9D9D9" w:val="clear"/>
          </w:tcPr>
          <w:p>
            <w:pPr>
              <w:spacing w:after="40" w:before="40" w:line="280"/>
            </w:pPr>
            <w:r>
              <w:rPr>
                <w:rFonts w:ascii="Times New Roman" w:cs="Times New Roman" w:eastAsia="Times New Roman" w:hAnsi="Times New Roman"/>
                <w:b/>
                <w:bCs/>
                <w:sz w:val="20"/>
                <w:szCs w:val="20"/>
              </w:rPr>
              <w:t xml:space="preserve">Status</w:t>
            </w:r>
          </w:p>
        </w:tc>
      </w:tr>
      <w:tr>
        <w:tc>
          <w:tcPr>
            <w:tcW w:type="dxa" w:w="600"/>
          </w:tcPr>
          <w:p>
            <w:pPr>
              <w:spacing w:after="40" w:before="40" w:line="280"/>
            </w:pPr>
            <w:r>
              <w:rPr>
                <w:rFonts w:ascii="Times New Roman" w:cs="Times New Roman" w:eastAsia="Times New Roman" w:hAnsi="Times New Roman"/>
                <w:sz w:val="20"/>
                <w:szCs w:val="20"/>
              </w:rPr>
              <w:t xml:space="preserve">TC-01</w:t>
            </w:r>
          </w:p>
        </w:tc>
        <w:tc>
          <w:tcPr>
            <w:tcW w:type="dxa" w:w="1800"/>
          </w:tcPr>
          <w:p>
            <w:pPr>
              <w:spacing w:after="40" w:before="40" w:line="280"/>
            </w:pPr>
            <w:r>
              <w:rPr>
                <w:rFonts w:ascii="Times New Roman" w:cs="Times New Roman" w:eastAsia="Times New Roman" w:hAnsi="Times New Roman"/>
                <w:sz w:val="20"/>
                <w:szCs w:val="20"/>
              </w:rPr>
              <w:t xml:space="preserve">Registration — missing role field</w:t>
            </w:r>
          </w:p>
        </w:tc>
        <w:tc>
          <w:tcPr>
            <w:tcW w:type="dxa" w:w="2900"/>
          </w:tcPr>
          <w:p>
            <w:pPr>
              <w:spacing w:after="40" w:before="40" w:line="280"/>
            </w:pPr>
            <w:r>
              <w:rPr>
                <w:rFonts w:ascii="Times New Roman" w:cs="Times New Roman" w:eastAsia="Times New Roman" w:hAnsi="Times New Roman"/>
                <w:sz w:val="20"/>
                <w:szCs w:val="20"/>
              </w:rPr>
              <w:t xml:space="preserve">Submit the registration form as originally wired to the API before the audit fix</w:t>
            </w:r>
          </w:p>
        </w:tc>
        <w:tc>
          <w:tcPr>
            <w:tcW w:type="dxa" w:w="2900"/>
          </w:tcPr>
          <w:p>
            <w:pPr>
              <w:spacing w:after="40" w:before="40" w:line="280"/>
            </w:pPr>
            <w:r>
              <w:rPr>
                <w:rFonts w:ascii="Times New Roman" w:cs="Times New Roman" w:eastAsia="Times New Roman" w:hAnsi="Times New Roman"/>
                <w:sz w:val="20"/>
                <w:szCs w:val="20"/>
              </w:rPr>
              <w:t xml:space="preserve">Defect reproduced: request omitted the required role field; fixed to send 'customer' or 'farmer' explicitly</w:t>
            </w:r>
          </w:p>
        </w:tc>
        <w:tc>
          <w:tcPr>
            <w:tcW w:type="dxa" w:w="800"/>
          </w:tcPr>
          <w:p>
            <w:pPr>
              <w:spacing w:after="40" w:before="40" w:line="280"/>
            </w:pPr>
            <w:r>
              <w:rPr>
                <w:rFonts w:ascii="Times New Roman" w:cs="Times New Roman" w:eastAsia="Times New Roman" w:hAnsi="Times New Roman"/>
                <w:sz w:val="20"/>
                <w:szCs w:val="20"/>
              </w:rPr>
              <w:t xml:space="preserve">Pass (fixed)</w:t>
            </w:r>
          </w:p>
        </w:tc>
      </w:tr>
      <w:tr>
        <w:tc>
          <w:tcPr>
            <w:tcW w:type="dxa" w:w="600"/>
          </w:tcPr>
          <w:p>
            <w:pPr>
              <w:spacing w:after="40" w:before="40" w:line="280"/>
            </w:pPr>
            <w:r>
              <w:rPr>
                <w:rFonts w:ascii="Times New Roman" w:cs="Times New Roman" w:eastAsia="Times New Roman" w:hAnsi="Times New Roman"/>
                <w:sz w:val="20"/>
                <w:szCs w:val="20"/>
              </w:rPr>
              <w:t xml:space="preserve">TC-02</w:t>
            </w:r>
          </w:p>
        </w:tc>
        <w:tc>
          <w:tcPr>
            <w:tcW w:type="dxa" w:w="1800"/>
          </w:tcPr>
          <w:p>
            <w:pPr>
              <w:spacing w:after="40" w:before="40" w:line="280"/>
            </w:pPr>
            <w:r>
              <w:rPr>
                <w:rFonts w:ascii="Times New Roman" w:cs="Times New Roman" w:eastAsia="Times New Roman" w:hAnsi="Times New Roman"/>
                <w:sz w:val="20"/>
                <w:szCs w:val="20"/>
              </w:rPr>
              <w:t xml:space="preserve">Registration — duplicate email</w:t>
            </w:r>
          </w:p>
        </w:tc>
        <w:tc>
          <w:tcPr>
            <w:tcW w:type="dxa" w:w="2900"/>
          </w:tcPr>
          <w:p>
            <w:pPr>
              <w:spacing w:after="40" w:before="40" w:line="280"/>
            </w:pPr>
            <w:r>
              <w:rPr>
                <w:rFonts w:ascii="Times New Roman" w:cs="Times New Roman" w:eastAsia="Times New Roman" w:hAnsi="Times New Roman"/>
                <w:sz w:val="20"/>
                <w:szCs w:val="20"/>
              </w:rPr>
              <w:t xml:space="preserve">Register with an email already present in the users table</w:t>
            </w:r>
          </w:p>
        </w:tc>
        <w:tc>
          <w:tcPr>
            <w:tcW w:type="dxa" w:w="2900"/>
          </w:tcPr>
          <w:p>
            <w:pPr>
              <w:spacing w:after="40" w:before="40" w:line="280"/>
            </w:pPr>
            <w:r>
              <w:rPr>
                <w:rFonts w:ascii="Times New Roman" w:cs="Times New Roman" w:eastAsia="Times New Roman" w:hAnsi="Times New Roman"/>
                <w:sz w:val="20"/>
                <w:szCs w:val="20"/>
              </w:rPr>
              <w:t xml:space="preserve">Registration rejected with a duplicate-email validation error</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TC-03</w:t>
            </w:r>
          </w:p>
        </w:tc>
        <w:tc>
          <w:tcPr>
            <w:tcW w:type="dxa" w:w="1800"/>
          </w:tcPr>
          <w:p>
            <w:pPr>
              <w:spacing w:after="40" w:before="40" w:line="280"/>
            </w:pPr>
            <w:r>
              <w:rPr>
                <w:rFonts w:ascii="Times New Roman" w:cs="Times New Roman" w:eastAsia="Times New Roman" w:hAnsi="Times New Roman"/>
                <w:sz w:val="20"/>
                <w:szCs w:val="20"/>
              </w:rPr>
              <w:t xml:space="preserve">Login — correct credentials</w:t>
            </w:r>
          </w:p>
        </w:tc>
        <w:tc>
          <w:tcPr>
            <w:tcW w:type="dxa" w:w="2900"/>
          </w:tcPr>
          <w:p>
            <w:pPr>
              <w:spacing w:after="40" w:before="40" w:line="280"/>
            </w:pPr>
            <w:r>
              <w:rPr>
                <w:rFonts w:ascii="Times New Roman" w:cs="Times New Roman" w:eastAsia="Times New Roman" w:hAnsi="Times New Roman"/>
                <w:sz w:val="20"/>
                <w:szCs w:val="20"/>
              </w:rPr>
              <w:t xml:space="preserve">Submit a valid email/password pair for a customer account</w:t>
            </w:r>
          </w:p>
        </w:tc>
        <w:tc>
          <w:tcPr>
            <w:tcW w:type="dxa" w:w="2900"/>
          </w:tcPr>
          <w:p>
            <w:pPr>
              <w:spacing w:after="40" w:before="40" w:line="280"/>
            </w:pPr>
            <w:r>
              <w:rPr>
                <w:rFonts w:ascii="Times New Roman" w:cs="Times New Roman" w:eastAsia="Times New Roman" w:hAnsi="Times New Roman"/>
                <w:sz w:val="20"/>
                <w:szCs w:val="20"/>
              </w:rPr>
              <w:t xml:space="preserve">Sanctum token issued; mtn_token stored in sessionStorage; redirected to the role-correct dashboard</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TC-04</w:t>
            </w:r>
          </w:p>
        </w:tc>
        <w:tc>
          <w:tcPr>
            <w:tcW w:type="dxa" w:w="1800"/>
          </w:tcPr>
          <w:p>
            <w:pPr>
              <w:spacing w:after="40" w:before="40" w:line="280"/>
            </w:pPr>
            <w:r>
              <w:rPr>
                <w:rFonts w:ascii="Times New Roman" w:cs="Times New Roman" w:eastAsia="Times New Roman" w:hAnsi="Times New Roman"/>
                <w:sz w:val="20"/>
                <w:szCs w:val="20"/>
              </w:rPr>
              <w:t xml:space="preserve">Login — wrong password</w:t>
            </w:r>
          </w:p>
        </w:tc>
        <w:tc>
          <w:tcPr>
            <w:tcW w:type="dxa" w:w="2900"/>
          </w:tcPr>
          <w:p>
            <w:pPr>
              <w:spacing w:after="40" w:before="40" w:line="280"/>
            </w:pPr>
            <w:r>
              <w:rPr>
                <w:rFonts w:ascii="Times New Roman" w:cs="Times New Roman" w:eastAsia="Times New Roman" w:hAnsi="Times New Roman"/>
                <w:sz w:val="20"/>
                <w:szCs w:val="20"/>
              </w:rPr>
              <w:t xml:space="preserve">Submit a valid email with an incorrect password</w:t>
            </w:r>
          </w:p>
        </w:tc>
        <w:tc>
          <w:tcPr>
            <w:tcW w:type="dxa" w:w="2900"/>
          </w:tcPr>
          <w:p>
            <w:pPr>
              <w:spacing w:after="40" w:before="40" w:line="280"/>
            </w:pPr>
            <w:r>
              <w:rPr>
                <w:rFonts w:ascii="Times New Roman" w:cs="Times New Roman" w:eastAsia="Times New Roman" w:hAnsi="Times New Roman"/>
                <w:sz w:val="20"/>
                <w:szCs w:val="20"/>
              </w:rPr>
              <w:t xml:space="preserve">Generic invalid-credentials error shown; no token issued</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TC-05</w:t>
            </w:r>
          </w:p>
        </w:tc>
        <w:tc>
          <w:tcPr>
            <w:tcW w:type="dxa" w:w="1800"/>
          </w:tcPr>
          <w:p>
            <w:pPr>
              <w:spacing w:after="40" w:before="40" w:line="280"/>
            </w:pPr>
            <w:r>
              <w:rPr>
                <w:rFonts w:ascii="Times New Roman" w:cs="Times New Roman" w:eastAsia="Times New Roman" w:hAnsi="Times New Roman"/>
                <w:sz w:val="20"/>
                <w:szCs w:val="20"/>
              </w:rPr>
              <w:t xml:space="preserve">Route/token guard — unauthenticated request</w:t>
            </w:r>
          </w:p>
        </w:tc>
        <w:tc>
          <w:tcPr>
            <w:tcW w:type="dxa" w:w="2900"/>
          </w:tcPr>
          <w:p>
            <w:pPr>
              <w:spacing w:after="40" w:before="40" w:line="280"/>
            </w:pPr>
            <w:r>
              <w:rPr>
                <w:rFonts w:ascii="Times New Roman" w:cs="Times New Roman" w:eastAsia="Times New Roman" w:hAnsi="Times New Roman"/>
                <w:sz w:val="20"/>
                <w:szCs w:val="20"/>
              </w:rPr>
              <w:t xml:space="preserve">Call a protected endpoint (e.g. /farmer/dashboard) with no Bearer token</w:t>
            </w:r>
          </w:p>
        </w:tc>
        <w:tc>
          <w:tcPr>
            <w:tcW w:type="dxa" w:w="2900"/>
          </w:tcPr>
          <w:p>
            <w:pPr>
              <w:spacing w:after="40" w:before="40" w:line="280"/>
            </w:pPr>
            <w:r>
              <w:rPr>
                <w:rFonts w:ascii="Times New Roman" w:cs="Times New Roman" w:eastAsia="Times New Roman" w:hAnsi="Times New Roman"/>
                <w:sz w:val="20"/>
                <w:szCs w:val="20"/>
              </w:rPr>
              <w:t xml:space="preserve">401 response; SPA redirects to the login view</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TC-06</w:t>
            </w:r>
          </w:p>
        </w:tc>
        <w:tc>
          <w:tcPr>
            <w:tcW w:type="dxa" w:w="1800"/>
          </w:tcPr>
          <w:p>
            <w:pPr>
              <w:spacing w:after="40" w:before="40" w:line="280"/>
            </w:pPr>
            <w:r>
              <w:rPr>
                <w:rFonts w:ascii="Times New Roman" w:cs="Times New Roman" w:eastAsia="Times New Roman" w:hAnsi="Times New Roman"/>
                <w:sz w:val="20"/>
                <w:szCs w:val="20"/>
              </w:rPr>
              <w:t xml:space="preserve">Product listing — farmer creates product</w:t>
            </w:r>
          </w:p>
        </w:tc>
        <w:tc>
          <w:tcPr>
            <w:tcW w:type="dxa" w:w="2900"/>
          </w:tcPr>
          <w:p>
            <w:pPr>
              <w:spacing w:after="40" w:before="40" w:line="280"/>
            </w:pPr>
            <w:r>
              <w:rPr>
                <w:rFonts w:ascii="Times New Roman" w:cs="Times New Roman" w:eastAsia="Times New Roman" w:hAnsi="Times New Roman"/>
                <w:sz w:val="20"/>
                <w:szCs w:val="20"/>
              </w:rPr>
              <w:t xml:space="preserve">Submit POST /products as an authenticated farmer with variety, price, and stock</w:t>
            </w:r>
          </w:p>
        </w:tc>
        <w:tc>
          <w:tcPr>
            <w:tcW w:type="dxa" w:w="2900"/>
          </w:tcPr>
          <w:p>
            <w:pPr>
              <w:spacing w:after="40" w:before="40" w:line="280"/>
            </w:pPr>
            <w:r>
              <w:rPr>
                <w:rFonts w:ascii="Times New Roman" w:cs="Times New Roman" w:eastAsia="Times New Roman" w:hAnsi="Times New Roman"/>
                <w:sz w:val="20"/>
                <w:szCs w:val="20"/>
              </w:rPr>
              <w:t xml:space="preserve">Product created and attributed to the authenticated farmer's account</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TC-07</w:t>
            </w:r>
          </w:p>
        </w:tc>
        <w:tc>
          <w:tcPr>
            <w:tcW w:type="dxa" w:w="1800"/>
          </w:tcPr>
          <w:p>
            <w:pPr>
              <w:spacing w:after="40" w:before="40" w:line="280"/>
            </w:pPr>
            <w:r>
              <w:rPr>
                <w:rFonts w:ascii="Times New Roman" w:cs="Times New Roman" w:eastAsia="Times New Roman" w:hAnsi="Times New Roman"/>
                <w:sz w:val="20"/>
                <w:szCs w:val="20"/>
              </w:rPr>
              <w:t xml:space="preserve">Restock — farmer updates stock</w:t>
            </w:r>
          </w:p>
        </w:tc>
        <w:tc>
          <w:tcPr>
            <w:tcW w:type="dxa" w:w="2900"/>
          </w:tcPr>
          <w:p>
            <w:pPr>
              <w:spacing w:after="40" w:before="40" w:line="280"/>
            </w:pPr>
            <w:r>
              <w:rPr>
                <w:rFonts w:ascii="Times New Roman" w:cs="Times New Roman" w:eastAsia="Times New Roman" w:hAnsi="Times New Roman"/>
                <w:sz w:val="20"/>
                <w:szCs w:val="20"/>
              </w:rPr>
              <w:t xml:space="preserve">PUT /farmer/products/{id}/restock with an added quantity</w:t>
            </w:r>
          </w:p>
        </w:tc>
        <w:tc>
          <w:tcPr>
            <w:tcW w:type="dxa" w:w="2900"/>
          </w:tcPr>
          <w:p>
            <w:pPr>
              <w:spacing w:after="40" w:before="40" w:line="280"/>
            </w:pPr>
            <w:r>
              <w:rPr>
                <w:rFonts w:ascii="Times New Roman" w:cs="Times New Roman" w:eastAsia="Times New Roman" w:hAnsi="Times New Roman"/>
                <w:sz w:val="20"/>
                <w:szCs w:val="20"/>
              </w:rPr>
              <w:t xml:space="preserve">Stock quantity increases; inventory view reflects the new total</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TC-08</w:t>
            </w:r>
          </w:p>
        </w:tc>
        <w:tc>
          <w:tcPr>
            <w:tcW w:type="dxa" w:w="1800"/>
          </w:tcPr>
          <w:p>
            <w:pPr>
              <w:spacing w:after="40" w:before="40" w:line="280"/>
            </w:pPr>
            <w:r>
              <w:rPr>
                <w:rFonts w:ascii="Times New Roman" w:cs="Times New Roman" w:eastAsia="Times New Roman" w:hAnsi="Times New Roman"/>
                <w:sz w:val="20"/>
                <w:szCs w:val="20"/>
              </w:rPr>
              <w:t xml:space="preserve">Low-stock indicator</w:t>
            </w:r>
          </w:p>
        </w:tc>
        <w:tc>
          <w:tcPr>
            <w:tcW w:type="dxa" w:w="2900"/>
          </w:tcPr>
          <w:p>
            <w:pPr>
              <w:spacing w:after="40" w:before="40" w:line="280"/>
            </w:pPr>
            <w:r>
              <w:rPr>
                <w:rFonts w:ascii="Times New Roman" w:cs="Times New Roman" w:eastAsia="Times New Roman" w:hAnsi="Times New Roman"/>
                <w:sz w:val="20"/>
                <w:szCs w:val="20"/>
              </w:rPr>
              <w:t xml:space="preserve">Reduce a product's stock below its threshold via successive orders</w:t>
            </w:r>
          </w:p>
        </w:tc>
        <w:tc>
          <w:tcPr>
            <w:tcW w:type="dxa" w:w="2900"/>
          </w:tcPr>
          <w:p>
            <w:pPr>
              <w:spacing w:after="40" w:before="40" w:line="280"/>
            </w:pPr>
            <w:r>
              <w:rPr>
                <w:rFonts w:ascii="Times New Roman" w:cs="Times New Roman" w:eastAsia="Times New Roman" w:hAnsi="Times New Roman"/>
                <w:sz w:val="20"/>
                <w:szCs w:val="20"/>
              </w:rPr>
              <w:t xml:space="preserve">Farmer inventory view flags the product with a low-stock warning</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TC-09</w:t>
            </w:r>
          </w:p>
        </w:tc>
        <w:tc>
          <w:tcPr>
            <w:tcW w:type="dxa" w:w="1800"/>
          </w:tcPr>
          <w:p>
            <w:pPr>
              <w:spacing w:after="40" w:before="40" w:line="280"/>
            </w:pPr>
            <w:r>
              <w:rPr>
                <w:rFonts w:ascii="Times New Roman" w:cs="Times New Roman" w:eastAsia="Times New Roman" w:hAnsi="Times New Roman"/>
                <w:sz w:val="20"/>
                <w:szCs w:val="20"/>
              </w:rPr>
              <w:t xml:space="preserve">Cart and coupon application</w:t>
            </w:r>
          </w:p>
        </w:tc>
        <w:tc>
          <w:tcPr>
            <w:tcW w:type="dxa" w:w="2900"/>
          </w:tcPr>
          <w:p>
            <w:pPr>
              <w:spacing w:after="40" w:before="40" w:line="280"/>
            </w:pPr>
            <w:r>
              <w:rPr>
                <w:rFonts w:ascii="Times New Roman" w:cs="Times New Roman" w:eastAsia="Times New Roman" w:hAnsi="Times New Roman"/>
                <w:sz w:val="20"/>
                <w:szCs w:val="20"/>
              </w:rPr>
              <w:t xml:space="preserve">Add items to the cart, then POST /cart/coupon with a valid code</w:t>
            </w:r>
          </w:p>
        </w:tc>
        <w:tc>
          <w:tcPr>
            <w:tcW w:type="dxa" w:w="2900"/>
          </w:tcPr>
          <w:p>
            <w:pPr>
              <w:spacing w:after="40" w:before="40" w:line="280"/>
            </w:pPr>
            <w:r>
              <w:rPr>
                <w:rFonts w:ascii="Times New Roman" w:cs="Times New Roman" w:eastAsia="Times New Roman" w:hAnsi="Times New Roman"/>
                <w:sz w:val="20"/>
                <w:szCs w:val="20"/>
              </w:rPr>
              <w:t xml:space="preserve">Discount applied and reflected in the checkout total</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TC-10</w:t>
            </w:r>
          </w:p>
        </w:tc>
        <w:tc>
          <w:tcPr>
            <w:tcW w:type="dxa" w:w="1800"/>
          </w:tcPr>
          <w:p>
            <w:pPr>
              <w:spacing w:after="40" w:before="40" w:line="280"/>
            </w:pPr>
            <w:r>
              <w:rPr>
                <w:rFonts w:ascii="Times New Roman" w:cs="Times New Roman" w:eastAsia="Times New Roman" w:hAnsi="Times New Roman"/>
                <w:sz w:val="20"/>
                <w:szCs w:val="20"/>
              </w:rPr>
              <w:t xml:space="preserve">Checkout — Stripe</w:t>
            </w:r>
          </w:p>
        </w:tc>
        <w:tc>
          <w:tcPr>
            <w:tcW w:type="dxa" w:w="2900"/>
          </w:tcPr>
          <w:p>
            <w:pPr>
              <w:spacing w:after="40" w:before="40" w:line="280"/>
            </w:pPr>
            <w:r>
              <w:rPr>
                <w:rFonts w:ascii="Times New Roman" w:cs="Times New Roman" w:eastAsia="Times New Roman" w:hAnsi="Times New Roman"/>
                <w:sz w:val="20"/>
                <w:szCs w:val="20"/>
              </w:rPr>
              <w:t xml:space="preserve">Choose Stripe at checkout for an order with a valid total</w:t>
            </w:r>
          </w:p>
        </w:tc>
        <w:tc>
          <w:tcPr>
            <w:tcW w:type="dxa" w:w="2900"/>
          </w:tcPr>
          <w:p>
            <w:pPr>
              <w:spacing w:after="40" w:before="40" w:line="280"/>
            </w:pPr>
            <w:r>
              <w:rPr>
                <w:rFonts w:ascii="Times New Roman" w:cs="Times New Roman" w:eastAsia="Times New Roman" w:hAnsi="Times New Roman"/>
                <w:sz w:val="20"/>
                <w:szCs w:val="20"/>
              </w:rPr>
              <w:t xml:space="preserve">PaymentIntent created via StripeClient; client_secret returned for Stripe.js to confirm</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TC-11</w:t>
            </w:r>
          </w:p>
        </w:tc>
        <w:tc>
          <w:tcPr>
            <w:tcW w:type="dxa" w:w="1800"/>
          </w:tcPr>
          <w:p>
            <w:pPr>
              <w:spacing w:after="40" w:before="40" w:line="280"/>
            </w:pPr>
            <w:r>
              <w:rPr>
                <w:rFonts w:ascii="Times New Roman" w:cs="Times New Roman" w:eastAsia="Times New Roman" w:hAnsi="Times New Roman"/>
                <w:sz w:val="20"/>
                <w:szCs w:val="20"/>
              </w:rPr>
              <w:t xml:space="preserve">Checkout — PayPal</w:t>
            </w:r>
          </w:p>
        </w:tc>
        <w:tc>
          <w:tcPr>
            <w:tcW w:type="dxa" w:w="2900"/>
          </w:tcPr>
          <w:p>
            <w:pPr>
              <w:spacing w:after="40" w:before="40" w:line="280"/>
            </w:pPr>
            <w:r>
              <w:rPr>
                <w:rFonts w:ascii="Times New Roman" w:cs="Times New Roman" w:eastAsia="Times New Roman" w:hAnsi="Times New Roman"/>
                <w:sz w:val="20"/>
                <w:szCs w:val="20"/>
              </w:rPr>
              <w:t xml:space="preserve">Choose PayPal at checkout</w:t>
            </w:r>
          </w:p>
        </w:tc>
        <w:tc>
          <w:tcPr>
            <w:tcW w:type="dxa" w:w="2900"/>
          </w:tcPr>
          <w:p>
            <w:pPr>
              <w:spacing w:after="40" w:before="40" w:line="280"/>
            </w:pPr>
            <w:r>
              <w:rPr>
                <w:rFonts w:ascii="Times New Roman" w:cs="Times New Roman" w:eastAsia="Times New Roman" w:hAnsi="Times New Roman"/>
                <w:sz w:val="20"/>
                <w:szCs w:val="20"/>
              </w:rPr>
              <w:t xml:space="preserve">PayPal order created via v2/checkout/orders; approval link returned and opened</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TC-12</w:t>
            </w:r>
          </w:p>
        </w:tc>
        <w:tc>
          <w:tcPr>
            <w:tcW w:type="dxa" w:w="1800"/>
          </w:tcPr>
          <w:p>
            <w:pPr>
              <w:spacing w:after="40" w:before="40" w:line="280"/>
            </w:pPr>
            <w:r>
              <w:rPr>
                <w:rFonts w:ascii="Times New Roman" w:cs="Times New Roman" w:eastAsia="Times New Roman" w:hAnsi="Times New Roman"/>
                <w:sz w:val="20"/>
                <w:szCs w:val="20"/>
              </w:rPr>
              <w:t xml:space="preserve">Checkout — Cash on Delivery</w:t>
            </w:r>
          </w:p>
        </w:tc>
        <w:tc>
          <w:tcPr>
            <w:tcW w:type="dxa" w:w="2900"/>
          </w:tcPr>
          <w:p>
            <w:pPr>
              <w:spacing w:after="40" w:before="40" w:line="280"/>
            </w:pPr>
            <w:r>
              <w:rPr>
                <w:rFonts w:ascii="Times New Roman" w:cs="Times New Roman" w:eastAsia="Times New Roman" w:hAnsi="Times New Roman"/>
                <w:sz w:val="20"/>
                <w:szCs w:val="20"/>
              </w:rPr>
              <w:t xml:space="preserve">Choose COD at checkout</w:t>
            </w:r>
          </w:p>
        </w:tc>
        <w:tc>
          <w:tcPr>
            <w:tcW w:type="dxa" w:w="2900"/>
          </w:tcPr>
          <w:p>
            <w:pPr>
              <w:spacing w:after="40" w:before="40" w:line="280"/>
            </w:pPr>
            <w:r>
              <w:rPr>
                <w:rFonts w:ascii="Times New Roman" w:cs="Times New Roman" w:eastAsia="Times New Roman" w:hAnsi="Times New Roman"/>
                <w:sz w:val="20"/>
                <w:szCs w:val="20"/>
              </w:rPr>
              <w:t xml:space="preserve">Payment record created with status pending; order proceeds without a gateway call</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TC-13</w:t>
            </w:r>
          </w:p>
        </w:tc>
        <w:tc>
          <w:tcPr>
            <w:tcW w:type="dxa" w:w="1800"/>
          </w:tcPr>
          <w:p>
            <w:pPr>
              <w:spacing w:after="40" w:before="40" w:line="280"/>
            </w:pPr>
            <w:r>
              <w:rPr>
                <w:rFonts w:ascii="Times New Roman" w:cs="Times New Roman" w:eastAsia="Times New Roman" w:hAnsi="Times New Roman"/>
                <w:sz w:val="20"/>
                <w:szCs w:val="20"/>
              </w:rPr>
              <w:t xml:space="preserve">Payment confirmation — trust boundary</w:t>
            </w:r>
          </w:p>
        </w:tc>
        <w:tc>
          <w:tcPr>
            <w:tcW w:type="dxa" w:w="2900"/>
          </w:tcPr>
          <w:p>
            <w:pPr>
              <w:spacing w:after="40" w:before="40" w:line="280"/>
            </w:pPr>
            <w:r>
              <w:rPr>
                <w:rFonts w:ascii="Times New Roman" w:cs="Times New Roman" w:eastAsia="Times New Roman" w:hAnsi="Times New Roman"/>
                <w:sz w:val="20"/>
                <w:szCs w:val="20"/>
              </w:rPr>
              <w:t xml:space="preserve">Attempt to call the confirm endpoint with a forged 'paid' status instead of a real gateway payment</w:t>
            </w:r>
          </w:p>
        </w:tc>
        <w:tc>
          <w:tcPr>
            <w:tcW w:type="dxa" w:w="2900"/>
          </w:tcPr>
          <w:p>
            <w:pPr>
              <w:spacing w:after="40" w:before="40" w:line="280"/>
            </w:pPr>
            <w:r>
              <w:rPr>
                <w:rFonts w:ascii="Times New Roman" w:cs="Times New Roman" w:eastAsia="Times New Roman" w:hAnsi="Times New Roman"/>
                <w:sz w:val="20"/>
                <w:szCs w:val="20"/>
              </w:rPr>
              <w:t xml:space="preserve">Server ignores any client-supplied status and instead re-verifies directly against the Stripe/PayPal API before marking the order confirmed</w:t>
            </w:r>
          </w:p>
        </w:tc>
        <w:tc>
          <w:tcPr>
            <w:tcW w:type="dxa" w:w="800"/>
          </w:tcPr>
          <w:p>
            <w:pPr>
              <w:spacing w:after="40" w:before="40" w:line="280"/>
            </w:pPr>
            <w:r>
              <w:rPr>
                <w:rFonts w:ascii="Times New Roman" w:cs="Times New Roman" w:eastAsia="Times New Roman" w:hAnsi="Times New Roman"/>
                <w:sz w:val="20"/>
                <w:szCs w:val="20"/>
              </w:rPr>
              <w:t xml:space="preserve">Pass (fixed)</w:t>
            </w:r>
          </w:p>
        </w:tc>
      </w:tr>
      <w:tr>
        <w:tc>
          <w:tcPr>
            <w:tcW w:type="dxa" w:w="600"/>
          </w:tcPr>
          <w:p>
            <w:pPr>
              <w:spacing w:after="40" w:before="40" w:line="280"/>
            </w:pPr>
            <w:r>
              <w:rPr>
                <w:rFonts w:ascii="Times New Roman" w:cs="Times New Roman" w:eastAsia="Times New Roman" w:hAnsi="Times New Roman"/>
                <w:sz w:val="20"/>
                <w:szCs w:val="20"/>
              </w:rPr>
              <w:t xml:space="preserve">TC-14</w:t>
            </w:r>
          </w:p>
        </w:tc>
        <w:tc>
          <w:tcPr>
            <w:tcW w:type="dxa" w:w="1800"/>
          </w:tcPr>
          <w:p>
            <w:pPr>
              <w:spacing w:after="40" w:before="40" w:line="280"/>
            </w:pPr>
            <w:r>
              <w:rPr>
                <w:rFonts w:ascii="Times New Roman" w:cs="Times New Roman" w:eastAsia="Times New Roman" w:hAnsi="Times New Roman"/>
                <w:sz w:val="20"/>
                <w:szCs w:val="20"/>
              </w:rPr>
              <w:t xml:space="preserve">Order status update — endpoint contract</w:t>
            </w:r>
          </w:p>
        </w:tc>
        <w:tc>
          <w:tcPr>
            <w:tcW w:type="dxa" w:w="2900"/>
          </w:tcPr>
          <w:p>
            <w:pPr>
              <w:spacing w:after="40" w:before="40" w:line="280"/>
            </w:pPr>
            <w:r>
              <w:rPr>
                <w:rFonts w:ascii="Times New Roman" w:cs="Times New Roman" w:eastAsia="Times New Roman" w:hAnsi="Times New Roman"/>
                <w:sz w:val="20"/>
                <w:szCs w:val="20"/>
              </w:rPr>
              <w:t xml:space="preserve">PUT /orders/{id}/status as originally wired before the audit fix</w:t>
            </w:r>
          </w:p>
        </w:tc>
        <w:tc>
          <w:tcPr>
            <w:tcW w:type="dxa" w:w="2900"/>
          </w:tcPr>
          <w:p>
            <w:pPr>
              <w:spacing w:after="40" w:before="40" w:line="280"/>
            </w:pPr>
            <w:r>
              <w:rPr>
                <w:rFonts w:ascii="Times New Roman" w:cs="Times New Roman" w:eastAsia="Times New Roman" w:hAnsi="Times New Roman"/>
                <w:sz w:val="20"/>
                <w:szCs w:val="20"/>
              </w:rPr>
              <w:t xml:space="preserve">Defect reproduced: wrong HTTP method/path used; corrected to match routes/api.php exactly</w:t>
            </w:r>
          </w:p>
        </w:tc>
        <w:tc>
          <w:tcPr>
            <w:tcW w:type="dxa" w:w="800"/>
          </w:tcPr>
          <w:p>
            <w:pPr>
              <w:spacing w:after="40" w:before="40" w:line="280"/>
            </w:pPr>
            <w:r>
              <w:rPr>
                <w:rFonts w:ascii="Times New Roman" w:cs="Times New Roman" w:eastAsia="Times New Roman" w:hAnsi="Times New Roman"/>
                <w:sz w:val="20"/>
                <w:szCs w:val="20"/>
              </w:rPr>
              <w:t xml:space="preserve">Pass (fixed)</w:t>
            </w:r>
          </w:p>
        </w:tc>
      </w:tr>
      <w:tr>
        <w:tc>
          <w:tcPr>
            <w:tcW w:type="dxa" w:w="600"/>
          </w:tcPr>
          <w:p>
            <w:pPr>
              <w:spacing w:after="40" w:before="40" w:line="280"/>
            </w:pPr>
            <w:r>
              <w:rPr>
                <w:rFonts w:ascii="Times New Roman" w:cs="Times New Roman" w:eastAsia="Times New Roman" w:hAnsi="Times New Roman"/>
                <w:sz w:val="20"/>
                <w:szCs w:val="20"/>
              </w:rPr>
              <w:t xml:space="preserve">TC-15</w:t>
            </w:r>
          </w:p>
        </w:tc>
        <w:tc>
          <w:tcPr>
            <w:tcW w:type="dxa" w:w="1800"/>
          </w:tcPr>
          <w:p>
            <w:pPr>
              <w:spacing w:after="40" w:before="40" w:line="280"/>
            </w:pPr>
            <w:r>
              <w:rPr>
                <w:rFonts w:ascii="Times New Roman" w:cs="Times New Roman" w:eastAsia="Times New Roman" w:hAnsi="Times New Roman"/>
                <w:sz w:val="20"/>
                <w:szCs w:val="20"/>
              </w:rPr>
              <w:t xml:space="preserve">Admin user status update</w:t>
            </w:r>
          </w:p>
        </w:tc>
        <w:tc>
          <w:tcPr>
            <w:tcW w:type="dxa" w:w="2900"/>
          </w:tcPr>
          <w:p>
            <w:pPr>
              <w:spacing w:after="40" w:before="40" w:line="280"/>
            </w:pPr>
            <w:r>
              <w:rPr>
                <w:rFonts w:ascii="Times New Roman" w:cs="Times New Roman" w:eastAsia="Times New Roman" w:hAnsi="Times New Roman"/>
                <w:sz w:val="20"/>
                <w:szCs w:val="20"/>
              </w:rPr>
              <w:t xml:space="preserve">PUT /admin/users/{id}/status as originally wired before the audit fix</w:t>
            </w:r>
          </w:p>
        </w:tc>
        <w:tc>
          <w:tcPr>
            <w:tcW w:type="dxa" w:w="2900"/>
          </w:tcPr>
          <w:p>
            <w:pPr>
              <w:spacing w:after="40" w:before="40" w:line="280"/>
            </w:pPr>
            <w:r>
              <w:rPr>
                <w:rFonts w:ascii="Times New Roman" w:cs="Times New Roman" w:eastAsia="Times New Roman" w:hAnsi="Times New Roman"/>
                <w:sz w:val="20"/>
                <w:szCs w:val="20"/>
              </w:rPr>
              <w:t xml:space="preserve">Defect reproduced: request referenced the user by email with an unsupported status value; corrected to use user ID and the accepted status vocabulary</w:t>
            </w:r>
          </w:p>
        </w:tc>
        <w:tc>
          <w:tcPr>
            <w:tcW w:type="dxa" w:w="800"/>
          </w:tcPr>
          <w:p>
            <w:pPr>
              <w:spacing w:after="40" w:before="40" w:line="280"/>
            </w:pPr>
            <w:r>
              <w:rPr>
                <w:rFonts w:ascii="Times New Roman" w:cs="Times New Roman" w:eastAsia="Times New Roman" w:hAnsi="Times New Roman"/>
                <w:sz w:val="20"/>
                <w:szCs w:val="20"/>
              </w:rPr>
              <w:t xml:space="preserve">Pass (fixed)</w:t>
            </w:r>
          </w:p>
        </w:tc>
      </w:tr>
      <w:tr>
        <w:tc>
          <w:tcPr>
            <w:tcW w:type="dxa" w:w="600"/>
          </w:tcPr>
          <w:p>
            <w:pPr>
              <w:spacing w:after="40" w:before="40" w:line="280"/>
            </w:pPr>
            <w:r>
              <w:rPr>
                <w:rFonts w:ascii="Times New Roman" w:cs="Times New Roman" w:eastAsia="Times New Roman" w:hAnsi="Times New Roman"/>
                <w:sz w:val="20"/>
                <w:szCs w:val="20"/>
              </w:rPr>
              <w:t xml:space="preserve">TC-16</w:t>
            </w:r>
          </w:p>
        </w:tc>
        <w:tc>
          <w:tcPr>
            <w:tcW w:type="dxa" w:w="1800"/>
          </w:tcPr>
          <w:p>
            <w:pPr>
              <w:spacing w:after="40" w:before="40" w:line="280"/>
            </w:pPr>
            <w:r>
              <w:rPr>
                <w:rFonts w:ascii="Times New Roman" w:cs="Times New Roman" w:eastAsia="Times New Roman" w:hAnsi="Times New Roman"/>
                <w:sz w:val="20"/>
                <w:szCs w:val="20"/>
              </w:rPr>
              <w:t xml:space="preserve">Admin order oversight</w:t>
            </w:r>
          </w:p>
        </w:tc>
        <w:tc>
          <w:tcPr>
            <w:tcW w:type="dxa" w:w="2900"/>
          </w:tcPr>
          <w:p>
            <w:pPr>
              <w:spacing w:after="40" w:before="40" w:line="280"/>
            </w:pPr>
            <w:r>
              <w:rPr>
                <w:rFonts w:ascii="Times New Roman" w:cs="Times New Roman" w:eastAsia="Times New Roman" w:hAnsi="Times New Roman"/>
                <w:sz w:val="20"/>
                <w:szCs w:val="20"/>
              </w:rPr>
              <w:t xml:space="preserve">Load GET /admin/orders as an authenticated admin</w:t>
            </w:r>
          </w:p>
        </w:tc>
        <w:tc>
          <w:tcPr>
            <w:tcW w:type="dxa" w:w="2900"/>
          </w:tcPr>
          <w:p>
            <w:pPr>
              <w:spacing w:after="40" w:before="40" w:line="280"/>
            </w:pPr>
            <w:r>
              <w:rPr>
                <w:rFonts w:ascii="Times New Roman" w:cs="Times New Roman" w:eastAsia="Times New Roman" w:hAnsi="Times New Roman"/>
                <w:sz w:val="20"/>
                <w:szCs w:val="20"/>
              </w:rPr>
              <w:t xml:space="preserve">Full order list returned across all customers and farmers, independent of session ownership</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TC-17</w:t>
            </w:r>
          </w:p>
        </w:tc>
        <w:tc>
          <w:tcPr>
            <w:tcW w:type="dxa" w:w="1800"/>
          </w:tcPr>
          <w:p>
            <w:pPr>
              <w:spacing w:after="40" w:before="40" w:line="280"/>
            </w:pPr>
            <w:r>
              <w:rPr>
                <w:rFonts w:ascii="Times New Roman" w:cs="Times New Roman" w:eastAsia="Times New Roman" w:hAnsi="Times New Roman"/>
                <w:sz w:val="20"/>
                <w:szCs w:val="20"/>
              </w:rPr>
              <w:t xml:space="preserve">Farmer sales report</w:t>
            </w:r>
          </w:p>
        </w:tc>
        <w:tc>
          <w:tcPr>
            <w:tcW w:type="dxa" w:w="2900"/>
          </w:tcPr>
          <w:p>
            <w:pPr>
              <w:spacing w:after="40" w:before="40" w:line="280"/>
            </w:pPr>
            <w:r>
              <w:rPr>
                <w:rFonts w:ascii="Times New Roman" w:cs="Times New Roman" w:eastAsia="Times New Roman" w:hAnsi="Times New Roman"/>
                <w:sz w:val="20"/>
                <w:szCs w:val="20"/>
              </w:rPr>
              <w:t xml:space="preserve">Load GET /farmer/sales-report as an authenticated farmer</w:t>
            </w:r>
          </w:p>
        </w:tc>
        <w:tc>
          <w:tcPr>
            <w:tcW w:type="dxa" w:w="2900"/>
          </w:tcPr>
          <w:p>
            <w:pPr>
              <w:spacing w:after="40" w:before="40" w:line="280"/>
            </w:pPr>
            <w:r>
              <w:rPr>
                <w:rFonts w:ascii="Times New Roman" w:cs="Times New Roman" w:eastAsia="Times New Roman" w:hAnsi="Times New Roman"/>
                <w:sz w:val="20"/>
                <w:szCs w:val="20"/>
              </w:rPr>
              <w:t xml:space="preserve">Report scoped to that farmer's own products and orders only</w:t>
            </w:r>
          </w:p>
        </w:tc>
        <w:tc>
          <w:tcPr>
            <w:tcW w:type="dxa" w:w="800"/>
          </w:tcPr>
          <w:p>
            <w:pPr>
              <w:spacing w:after="40" w:before="40" w:line="280"/>
            </w:pPr>
            <w:r>
              <w:rPr>
                <w:rFonts w:ascii="Times New Roman" w:cs="Times New Roman" w:eastAsia="Times New Roman" w:hAnsi="Times New Roman"/>
                <w:sz w:val="20"/>
                <w:szCs w:val="20"/>
              </w:rPr>
              <w:t xml:space="preserve">Pass</w:t>
            </w:r>
          </w:p>
        </w:tc>
      </w:tr>
      <w:tr>
        <w:tc>
          <w:tcPr>
            <w:tcW w:type="dxa" w:w="600"/>
          </w:tcPr>
          <w:p>
            <w:pPr>
              <w:spacing w:after="40" w:before="40" w:line="280"/>
            </w:pPr>
            <w:r>
              <w:rPr>
                <w:rFonts w:ascii="Times New Roman" w:cs="Times New Roman" w:eastAsia="Times New Roman" w:hAnsi="Times New Roman"/>
                <w:sz w:val="20"/>
                <w:szCs w:val="20"/>
              </w:rPr>
              <w:t xml:space="preserve">TC-18</w:t>
            </w:r>
          </w:p>
        </w:tc>
        <w:tc>
          <w:tcPr>
            <w:tcW w:type="dxa" w:w="1800"/>
          </w:tcPr>
          <w:p>
            <w:pPr>
              <w:spacing w:after="40" w:before="40" w:line="280"/>
            </w:pPr>
            <w:r>
              <w:rPr>
                <w:rFonts w:ascii="Times New Roman" w:cs="Times New Roman" w:eastAsia="Times New Roman" w:hAnsi="Times New Roman"/>
                <w:sz w:val="20"/>
                <w:szCs w:val="20"/>
              </w:rPr>
              <w:t xml:space="preserve">Cross-origin request from the SPA</w:t>
            </w:r>
          </w:p>
        </w:tc>
        <w:tc>
          <w:tcPr>
            <w:tcW w:type="dxa" w:w="2900"/>
          </w:tcPr>
          <w:p>
            <w:pPr>
              <w:spacing w:after="40" w:before="40" w:line="280"/>
            </w:pPr>
            <w:r>
              <w:rPr>
                <w:rFonts w:ascii="Times New Roman" w:cs="Times New Roman" w:eastAsia="Times New Roman" w:hAnsi="Times New Roman"/>
                <w:sz w:val="20"/>
                <w:szCs w:val="20"/>
              </w:rPr>
              <w:t xml:space="preserve">Load mtnmangoes_full.html from FRONTEND_URL and issue an API call</w:t>
            </w:r>
          </w:p>
        </w:tc>
        <w:tc>
          <w:tcPr>
            <w:tcW w:type="dxa" w:w="2900"/>
          </w:tcPr>
          <w:p>
            <w:pPr>
              <w:spacing w:after="40" w:before="40" w:line="280"/>
            </w:pPr>
            <w:r>
              <w:rPr>
                <w:rFonts w:ascii="Times New Roman" w:cs="Times New Roman" w:eastAsia="Times New Roman" w:hAnsi="Times New Roman"/>
                <w:sz w:val="20"/>
                <w:szCs w:val="20"/>
              </w:rPr>
              <w:t xml:space="preserve">Request succeeds under the configured CORS policy; a request from an unlisted origin is rejected</w:t>
            </w:r>
          </w:p>
        </w:tc>
        <w:tc>
          <w:tcPr>
            <w:tcW w:type="dxa" w:w="800"/>
          </w:tcPr>
          <w:p>
            <w:pPr>
              <w:spacing w:after="40" w:before="40" w:line="280"/>
            </w:pPr>
            <w:r>
              <w:rPr>
                <w:rFonts w:ascii="Times New Roman" w:cs="Times New Roman" w:eastAsia="Times New Roman" w:hAnsi="Times New Roman"/>
                <w:sz w:val="20"/>
                <w:szCs w:val="20"/>
              </w:rPr>
              <w:t xml:space="preserve">Pass</w:t>
            </w:r>
          </w:p>
        </w:tc>
      </w:tr>
    </w:tbl>
    <w:p>
      <w:pPr>
        <w:pStyle w:val="Heading1"/>
        <w:spacing w:after="160" w:before="320"/>
      </w:pPr>
      <w:r>
        <w:rPr>
          <w:rFonts w:ascii="Times New Roman" w:cs="Times New Roman" w:eastAsia="Times New Roman" w:hAnsi="Times New Roman"/>
          <w:b/>
          <w:bCs/>
          <w:color w:val="000000"/>
          <w:sz w:val="28"/>
          <w:szCs w:val="28"/>
        </w:rPr>
        <w:t xml:space="preserve">5.3  Integration Testing</w:t>
      </w:r>
    </w:p>
    <w:p>
      <w:pPr>
        <w:spacing w:after="200" w:before="0" w:line="360"/>
        <w:ind w:firstLine="720"/>
        <w:jc w:val="both"/>
      </w:pPr>
      <w:r>
        <w:rPr>
          <w:rFonts w:ascii="Times New Roman" w:cs="Times New Roman" w:eastAsia="Times New Roman" w:hAnsi="Times New Roman"/>
          <w:sz w:val="24"/>
          <w:szCs w:val="24"/>
        </w:rPr>
        <w:t xml:space="preserve">Integration testing verified that an action taken through one role's dashboard is correctly reflected wherever else it matters. An order placed by a customer appears immediately in the corresponding farmer's dashboard and in the admin's order-oversight view; a successful Stripe or PayPal confirmation updates the order's status from pending to confirmed in the same request, without a separate synchronization step; and a coupon applied at /cart/coupon is reflected consistently in both the cart summary shown to the customer and the total actually charged at checkout. Cross-origin integration between the statically served SPA and the Laravel API was also verified end to end, confirming that config/cors.php's FRONTEND_URL-scoped policy permits the SPA's requests while a request built from a different origin is rejected by the browser's preflight check.</w:t>
      </w:r>
    </w:p>
    <w:p>
      <w:pPr>
        <w:pStyle w:val="Heading1"/>
        <w:spacing w:after="160" w:before="320"/>
      </w:pPr>
      <w:r>
        <w:rPr>
          <w:rFonts w:ascii="Times New Roman" w:cs="Times New Roman" w:eastAsia="Times New Roman" w:hAnsi="Times New Roman"/>
          <w:b/>
          <w:bCs/>
          <w:color w:val="000000"/>
          <w:sz w:val="28"/>
          <w:szCs w:val="28"/>
        </w:rPr>
        <w:t xml:space="preserve">5.4  User Acceptance Testing (UAT)</w:t>
      </w:r>
    </w:p>
    <w:p>
      <w:pPr>
        <w:spacing w:after="200" w:before="0" w:line="360"/>
        <w:ind w:firstLine="720"/>
        <w:jc w:val="both"/>
      </w:pPr>
      <w:r>
        <w:rPr>
          <w:rFonts w:ascii="Times New Roman" w:cs="Times New Roman" w:eastAsia="Times New Roman" w:hAnsi="Times New Roman"/>
          <w:sz w:val="24"/>
          <w:szCs w:val="24"/>
        </w:rPr>
        <w:t xml:space="preserve">A small group of peers exercised the customer flow — browsing the product grid, applying a coupon, and checking out through each of the three payment options — while others role-played the farmer and admin dashboards against the resulting orders. Testers who worked without a running Laravel backend were, by design, still able to exercise the interface: the SPA's DEMO_MODE falls back to bundled sample data and surfaces a one-time banner the first time a real API call fails, which testers reported as a helpful signal rather than a silent failure. Feedback also centered on the clarity of the farmer inventory view, where the low-stock warning on the stock badge was well received as an at-a-glance cue that testers said they would act on immediately rather than during a periodic stock review.</w:t>
      </w:r>
    </w:p>
    <w:p>
      <w:pPr>
        <w:pStyle w:val="Heading1"/>
        <w:spacing w:after="160" w:before="320"/>
      </w:pPr>
      <w:r>
        <w:rPr>
          <w:rFonts w:ascii="Times New Roman" w:cs="Times New Roman" w:eastAsia="Times New Roman" w:hAnsi="Times New Roman"/>
          <w:b/>
          <w:bCs/>
          <w:color w:val="000000"/>
          <w:sz w:val="28"/>
          <w:szCs w:val="28"/>
        </w:rPr>
        <w:t xml:space="preserve">5.5  Security Testing</w:t>
      </w:r>
    </w:p>
    <w:p>
      <w:pPr>
        <w:spacing w:after="200" w:before="100"/>
      </w:pPr>
      <w:r>
        <w:rPr>
          <w:rFonts w:ascii="Times New Roman" w:cs="Times New Roman" w:eastAsia="Times New Roman" w:hAnsi="Times New Roman"/>
          <w:b/>
          <w:bCs/>
          <w:sz w:val="22"/>
          <w:szCs w:val="22"/>
        </w:rPr>
        <w:t xml:space="preserve">Table 5.2: Security Test Summary</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6000"/>
      </w:tblGrid>
      <w:tr>
        <w:trPr>
          <w:tblHeader/>
        </w:trPr>
        <w:tc>
          <w:tcPr>
            <w:tcW w:type="dxa" w:w="3000"/>
            <w:shd w:fill="D9D9D9" w:val="clear"/>
          </w:tcPr>
          <w:p>
            <w:pPr>
              <w:spacing w:after="40" w:before="40" w:line="280"/>
            </w:pPr>
            <w:r>
              <w:rPr>
                <w:rFonts w:ascii="Times New Roman" w:cs="Times New Roman" w:eastAsia="Times New Roman" w:hAnsi="Times New Roman"/>
                <w:b/>
                <w:bCs/>
                <w:sz w:val="20"/>
                <w:szCs w:val="20"/>
              </w:rPr>
              <w:t xml:space="preserve">Check</w:t>
            </w:r>
          </w:p>
        </w:tc>
        <w:tc>
          <w:tcPr>
            <w:tcW w:type="dxa" w:w="6000"/>
            <w:shd w:fill="D9D9D9" w:val="clear"/>
          </w:tcPr>
          <w:p>
            <w:pPr>
              <w:spacing w:after="40" w:before="40" w:line="280"/>
            </w:pPr>
            <w:r>
              <w:rPr>
                <w:rFonts w:ascii="Times New Roman" w:cs="Times New Roman" w:eastAsia="Times New Roman" w:hAnsi="Times New Roman"/>
                <w:b/>
                <w:bCs/>
                <w:sz w:val="20"/>
                <w:szCs w:val="20"/>
              </w:rPr>
              <w:t xml:space="preserve">Result</w:t>
            </w:r>
          </w:p>
        </w:tc>
      </w:tr>
      <w:tr>
        <w:tc>
          <w:tcPr>
            <w:tcW w:type="dxa" w:w="3000"/>
          </w:tcPr>
          <w:p>
            <w:pPr>
              <w:spacing w:after="40" w:before="40" w:line="280"/>
            </w:pPr>
            <w:r>
              <w:rPr>
                <w:rFonts w:ascii="Times New Roman" w:cs="Times New Roman" w:eastAsia="Times New Roman" w:hAnsi="Times New Roman"/>
                <w:sz w:val="20"/>
                <w:szCs w:val="20"/>
              </w:rPr>
              <w:t xml:space="preserve">Passwords never stored in plaintext</w:t>
            </w:r>
          </w:p>
        </w:tc>
        <w:tc>
          <w:tcPr>
            <w:tcW w:type="dxa" w:w="6000"/>
          </w:tcPr>
          <w:p>
            <w:pPr>
              <w:spacing w:after="40" w:before="40" w:line="280"/>
            </w:pPr>
            <w:r>
              <w:rPr>
                <w:rFonts w:ascii="Times New Roman" w:cs="Times New Roman" w:eastAsia="Times New Roman" w:hAnsi="Times New Roman"/>
                <w:sz w:val="20"/>
                <w:szCs w:val="20"/>
              </w:rPr>
              <w:t xml:space="preserve">Confirmed — hashed via Laravel's default bcrypt hashing on the users table</w:t>
            </w:r>
          </w:p>
        </w:tc>
      </w:tr>
      <w:tr>
        <w:tc>
          <w:tcPr>
            <w:tcW w:type="dxa" w:w="3000"/>
          </w:tcPr>
          <w:p>
            <w:pPr>
              <w:spacing w:after="40" w:before="40" w:line="280"/>
            </w:pPr>
            <w:r>
              <w:rPr>
                <w:rFonts w:ascii="Times New Roman" w:cs="Times New Roman" w:eastAsia="Times New Roman" w:hAnsi="Times New Roman"/>
                <w:sz w:val="20"/>
                <w:szCs w:val="20"/>
              </w:rPr>
              <w:t xml:space="preserve">Payment status cannot be forged by the client</w:t>
            </w:r>
          </w:p>
        </w:tc>
        <w:tc>
          <w:tcPr>
            <w:tcW w:type="dxa" w:w="6000"/>
          </w:tcPr>
          <w:p>
            <w:pPr>
              <w:spacing w:after="40" w:before="40" w:line="280"/>
            </w:pPr>
            <w:r>
              <w:rPr>
                <w:rFonts w:ascii="Times New Roman" w:cs="Times New Roman" w:eastAsia="Times New Roman" w:hAnsi="Times New Roman"/>
                <w:sz w:val="20"/>
                <w:szCs w:val="20"/>
              </w:rPr>
              <w:t xml:space="preserve">Fixed — the original implementation trusted a client-supplied paid flag; PaymentController::confirm() now re-verifies the PaymentIntent (Stripe) or captures and checks the order status (PayPal) server-side before marking a payment paid</w:t>
            </w:r>
          </w:p>
        </w:tc>
      </w:tr>
      <w:tr>
        <w:tc>
          <w:tcPr>
            <w:tcW w:type="dxa" w:w="3000"/>
          </w:tcPr>
          <w:p>
            <w:pPr>
              <w:spacing w:after="40" w:before="40" w:line="280"/>
            </w:pPr>
            <w:r>
              <w:rPr>
                <w:rFonts w:ascii="Times New Roman" w:cs="Times New Roman" w:eastAsia="Times New Roman" w:hAnsi="Times New Roman"/>
                <w:sz w:val="20"/>
                <w:szCs w:val="20"/>
              </w:rPr>
              <w:t xml:space="preserve">Cross-origin access restricted</w:t>
            </w:r>
          </w:p>
        </w:tc>
        <w:tc>
          <w:tcPr>
            <w:tcW w:type="dxa" w:w="6000"/>
          </w:tcPr>
          <w:p>
            <w:pPr>
              <w:spacing w:after="40" w:before="40" w:line="280"/>
            </w:pPr>
            <w:r>
              <w:rPr>
                <w:rFonts w:ascii="Times New Roman" w:cs="Times New Roman" w:eastAsia="Times New Roman" w:hAnsi="Times New Roman"/>
                <w:sz w:val="20"/>
                <w:szCs w:val="20"/>
              </w:rPr>
              <w:t xml:space="preserve">Confirmed — config/cors.php scopes allowed_origins to a single FRONTEND_URL value read from .env, rather than a wildcard</w:t>
            </w:r>
          </w:p>
        </w:tc>
      </w:tr>
      <w:tr>
        <w:tc>
          <w:tcPr>
            <w:tcW w:type="dxa" w:w="3000"/>
          </w:tcPr>
          <w:p>
            <w:pPr>
              <w:spacing w:after="40" w:before="40" w:line="280"/>
            </w:pPr>
            <w:r>
              <w:rPr>
                <w:rFonts w:ascii="Times New Roman" w:cs="Times New Roman" w:eastAsia="Times New Roman" w:hAnsi="Times New Roman"/>
                <w:sz w:val="20"/>
                <w:szCs w:val="20"/>
              </w:rPr>
              <w:t xml:space="preserve">Secrets kept out of source control</w:t>
            </w:r>
          </w:p>
        </w:tc>
        <w:tc>
          <w:tcPr>
            <w:tcW w:type="dxa" w:w="6000"/>
          </w:tcPr>
          <w:p>
            <w:pPr>
              <w:spacing w:after="40" w:before="40" w:line="280"/>
            </w:pPr>
            <w:r>
              <w:rPr>
                <w:rFonts w:ascii="Times New Roman" w:cs="Times New Roman" w:eastAsia="Times New Roman" w:hAnsi="Times New Roman"/>
                <w:sz w:val="20"/>
                <w:szCs w:val="20"/>
              </w:rPr>
              <w:t xml:space="preserve">Confirmed — STRIPE_SECRET, PAYPAL_CLIENT_SECRET, and DB credentials are read from .env via config/services.php; only .env.example is committed</w:t>
            </w:r>
          </w:p>
        </w:tc>
      </w:tr>
      <w:tr>
        <w:tc>
          <w:tcPr>
            <w:tcW w:type="dxa" w:w="3000"/>
          </w:tcPr>
          <w:p>
            <w:pPr>
              <w:spacing w:after="40" w:before="40" w:line="280"/>
            </w:pPr>
            <w:r>
              <w:rPr>
                <w:rFonts w:ascii="Times New Roman" w:cs="Times New Roman" w:eastAsia="Times New Roman" w:hAnsi="Times New Roman"/>
                <w:sz w:val="20"/>
                <w:szCs w:val="20"/>
              </w:rPr>
              <w:t xml:space="preserve">Order and payment access scoped to the owning user</w:t>
            </w:r>
          </w:p>
        </w:tc>
        <w:tc>
          <w:tcPr>
            <w:tcW w:type="dxa" w:w="6000"/>
          </w:tcPr>
          <w:p>
            <w:pPr>
              <w:spacing w:after="40" w:before="40" w:line="280"/>
            </w:pPr>
            <w:r>
              <w:rPr>
                <w:rFonts w:ascii="Times New Roman" w:cs="Times New Roman" w:eastAsia="Times New Roman" w:hAnsi="Times New Roman"/>
                <w:sz w:val="20"/>
                <w:szCs w:val="20"/>
              </w:rPr>
              <w:t xml:space="preserve">Confirmed — initiate(), confirm(), and show() on PaymentController all abort with 403 unless the requesting user owns the order or is an admin</w:t>
            </w:r>
          </w:p>
        </w:tc>
      </w:tr>
      <w:tr>
        <w:tc>
          <w:tcPr>
            <w:tcW w:type="dxa" w:w="3000"/>
          </w:tcPr>
          <w:p>
            <w:pPr>
              <w:spacing w:after="40" w:before="40" w:line="280"/>
            </w:pPr>
            <w:r>
              <w:rPr>
                <w:rFonts w:ascii="Times New Roman" w:cs="Times New Roman" w:eastAsia="Times New Roman" w:hAnsi="Times New Roman"/>
                <w:sz w:val="20"/>
                <w:szCs w:val="20"/>
              </w:rPr>
              <w:t xml:space="preserve">Role-based route access (customer / farmer / admin)</w:t>
            </w:r>
          </w:p>
        </w:tc>
        <w:tc>
          <w:tcPr>
            <w:tcW w:type="dxa" w:w="6000"/>
          </w:tcPr>
          <w:p>
            <w:pPr>
              <w:spacing w:after="40" w:before="40" w:line="280"/>
            </w:pPr>
            <w:r>
              <w:rPr>
                <w:rFonts w:ascii="Times New Roman" w:cs="Times New Roman" w:eastAsia="Times New Roman" w:hAnsi="Times New Roman"/>
                <w:sz w:val="20"/>
                <w:szCs w:val="20"/>
              </w:rPr>
              <w:t xml:space="preserve">Confirmed — farmer-only and admin-only endpoints reject tokens belonging to the wrong role before any business logic runs</w:t>
            </w:r>
          </w:p>
        </w:tc>
      </w:tr>
      <w:tr>
        <w:tc>
          <w:tcPr>
            <w:tcW w:type="dxa" w:w="3000"/>
          </w:tcPr>
          <w:p>
            <w:pPr>
              <w:spacing w:after="40" w:before="40" w:line="280"/>
            </w:pPr>
            <w:r>
              <w:rPr>
                <w:rFonts w:ascii="Times New Roman" w:cs="Times New Roman" w:eastAsia="Times New Roman" w:hAnsi="Times New Roman"/>
                <w:sz w:val="20"/>
                <w:szCs w:val="20"/>
              </w:rPr>
              <w:t xml:space="preserve">SQL injection resistance</w:t>
            </w:r>
          </w:p>
        </w:tc>
        <w:tc>
          <w:tcPr>
            <w:tcW w:type="dxa" w:w="6000"/>
          </w:tcPr>
          <w:p>
            <w:pPr>
              <w:spacing w:after="40" w:before="40" w:line="280"/>
            </w:pPr>
            <w:r>
              <w:rPr>
                <w:rFonts w:ascii="Times New Roman" w:cs="Times New Roman" w:eastAsia="Times New Roman" w:hAnsi="Times New Roman"/>
                <w:sz w:val="20"/>
                <w:szCs w:val="20"/>
              </w:rPr>
              <w:t xml:space="preserve">Confirmed — all data access goes through Eloquent models and query bindings; no raw string-concatenated queries were found in the audited controllers</w:t>
            </w:r>
          </w:p>
        </w:tc>
      </w:tr>
    </w:tbl>
    <w:p>
      <w:pPr>
        <w:spacing w:after="200" w:before="0" w:line="360"/>
        <w:ind w:firstLine="720"/>
        <w:jc w:val="both"/>
      </w:pPr>
      <w:r>
        <w:rPr>
          <w:rFonts w:ascii="Times New Roman" w:cs="Times New Roman" w:eastAsia="Times New Roman" w:hAnsi="Times New Roman"/>
          <w:sz w:val="24"/>
          <w:szCs w:val="24"/>
        </w:rPr>
        <w:t xml:space="preserve">The most significant finding of the security review concerned the payment confirmation flow. As originally implemented, the confirmation endpoint accepted a client-supplied payment status, which would have allowed an authenticated customer to call the endpoint directly and mark any order as paid without completing a real transaction. This was corrected so that PaymentController::confirm() ignores any status the client sends and instead re-verifies the payment directly against the Stripe or PayPal API — retrieving the PaymentIntent for Stripe, or capturing and checking the order for PayPal — before the order is ever marked confirmed.</w:t>
      </w:r>
    </w:p>
    <w:p>
      <w:pPr>
        <w:pStyle w:val="Heading1"/>
        <w:spacing w:after="160" w:before="320"/>
      </w:pPr>
      <w:r>
        <w:rPr>
          <w:rFonts w:ascii="Times New Roman" w:cs="Times New Roman" w:eastAsia="Times New Roman" w:hAnsi="Times New Roman"/>
          <w:b/>
          <w:bCs/>
          <w:color w:val="000000"/>
          <w:sz w:val="28"/>
          <w:szCs w:val="28"/>
        </w:rPr>
        <w:t xml:space="preserve">5.6  Known Limitations Identified During Testing</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There is no webhook endpoint for asynchronous payment confirmation; the current design relies on the SPA calling the confirmation endpoint after the gateway redirect, which is adequate for demonstration purposes but is not resilient to a dropped connection mid-payment.</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PayPal checkout bills in USD using a fixed PKR-to-USD conversion constant in PaymentController rather than a live exchange-rate lookup, which would drift from the real rate over time in a production deployment.</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Direct file access to uploaded product images is not restricted by a server-side permission check, since these are intentionally public marketplace assets; flagged as a note rather than a defect.</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There is no native mobile application and no third-party logistics integration for delivery tracking; both are scoped as future work rather than gaps in the current submission.</w:t>
      </w:r>
    </w:p>
    <w:p>
      <w:pPr>
        <w:pStyle w:val="Heading1"/>
        <w:spacing w:after="160" w:before="320"/>
      </w:pPr>
      <w:r>
        <w:rPr>
          <w:rFonts w:ascii="Times New Roman" w:cs="Times New Roman" w:eastAsia="Times New Roman" w:hAnsi="Times New Roman"/>
          <w:b/>
          <w:bCs/>
          <w:color w:val="000000"/>
          <w:sz w:val="28"/>
          <w:szCs w:val="28"/>
        </w:rPr>
        <w:t xml:space="preserve">5.7  Summary</w:t>
      </w:r>
    </w:p>
    <w:p>
      <w:pPr>
        <w:spacing w:after="200" w:before="0" w:line="360"/>
        <w:ind w:firstLine="720"/>
        <w:jc w:val="both"/>
      </w:pPr>
      <w:r>
        <w:rPr>
          <w:rFonts w:ascii="Times New Roman" w:cs="Times New Roman" w:eastAsia="Times New Roman" w:hAnsi="Times New Roman"/>
          <w:sz w:val="24"/>
          <w:szCs w:val="24"/>
        </w:rPr>
        <w:t xml:space="preserve">Testing across the frontend-to-backend contract, the registration/login/token-guard flow, the cart-coupon-checkout transaction across all three payment methods, and role-based access control for customers, farmers, and admins found the system behaving as designed in every documented test case once the seven contract defects surfaced by the initial audit were corrected. The payment-confirmation trust-boundary fix was the most consequential outcome of the security review, since it closes a path by which any authenticated customer could otherwise have marked an order as paid without payment. The limitations identified in Section 5.6 are scoped and specific, and are carried forward as concrete recommendations in Chapter 6 rather than being treated as open defects in the delivered feature set.</w:t>
      </w:r>
    </w:p>
    <w:p>
      <w:pPr>
        <w:spacing w:after="200" w:before="0" w:line="360"/>
        <w:ind w:firstLine="720"/>
        <w:jc w:val="both"/>
      </w:pPr>
      <w:r>
        <w:rPr>
          <w:rFonts w:ascii="Times New Roman" w:cs="Times New Roman" w:eastAsia="Times New Roman" w:hAnsi="Times New Roman"/>
          <w:sz w:val="24"/>
          <w:szCs w:val="24"/>
        </w:rPr>
        <w:t xml:space="preserve">No test case in Table 5.1 remained failing at the time of writing; every limitation recorded in Section 5.6 maps directly onto an item in the Chapter 6 future-work list, rather than representing an unresolved defect in the delivered system. This distinction between a scoped limitation and an unresolved bug is intentional, and is carried through consistently into the final chapter.</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rPr>
  </w:style>
  <w:style w:type="paragraph" w:styleId="Heading2">
    <w:name w:val="Heading 2"/>
    <w:basedOn w:val="Normal"/>
    <w:next w:val="Normal"/>
    <w:qFormat/>
    <w:rPr>
      <w:rFonts w:ascii="Times New Roman" w:cs="Times New Roman" w:eastAsia="Times New Roman" w:hAnsi="Times New Roman"/>
      <w:b/>
      <w:bCs/>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2026-08-25T11:10:35.788Z</dcterms:created>
  <dcterms:modified xsi:type="dcterms:W3CDTF">2026-08-25T11:10:35.788Z</dcterms:modified>
</cp:coreProperties>
</file>

<file path=docProps/custom.xml><?xml version="1.0" encoding="utf-8"?>
<Properties xmlns="http://schemas.openxmlformats.org/officeDocument/2006/custom-properties" xmlns:vt="http://schemas.openxmlformats.org/officeDocument/2006/docPropsVTypes"/>
</file>