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Интерен Правилник за Сертификација на Производи – DIAB-REG</w:t>
      </w:r>
    </w:p>
    <w:p>
      <w:r>
        <w:t>Овој правилник ги уредува условите, процедурите и критериумите за сертификација на производи поврзани со дијабетес, кои се оценуваат од страна на DIAB-REG.</w:t>
      </w:r>
    </w:p>
    <w:p>
      <w:pPr>
        <w:pStyle w:val="Heading1"/>
      </w:pPr>
      <w:r>
        <w:t>1. Цел на правилникот</w:t>
      </w:r>
    </w:p>
    <w:p>
      <w:r>
        <w:t>Целта е воспоставување транспарентен, проверлив и стандардизиран процес на евалуација и одобрување на производи за лица со дијабетес.</w:t>
      </w:r>
    </w:p>
    <w:p>
      <w:pPr>
        <w:pStyle w:val="Heading1"/>
      </w:pPr>
      <w:r>
        <w:t>2. Поднесување на барање</w:t>
      </w:r>
    </w:p>
    <w:p>
      <w:r>
        <w:t>Компаниите пополнуваат официјален образец со потребни документи и информации за производот.</w:t>
      </w:r>
    </w:p>
    <w:p>
      <w:pPr>
        <w:pStyle w:val="Heading1"/>
      </w:pPr>
      <w:r>
        <w:t>3. Категоризација на производ</w:t>
      </w:r>
    </w:p>
    <w:p>
      <w:r>
        <w:t>Производите се категоризираат во 4 нивоа според нивната медицинска важност и комплексност:</w:t>
      </w:r>
    </w:p>
    <w:p>
      <w:r>
        <w:t>- Категорија 1: Лепенки и додатоци</w:t>
        <w:br/>
        <w:t>- Категорија 2: Потрошен материјал</w:t>
        <w:br/>
        <w:t>- Категорија 3: Уреди за мерење</w:t>
        <w:br/>
        <w:t>- Категорија 4: Апликациски уреди / пумпи</w:t>
      </w:r>
    </w:p>
    <w:p>
      <w:pPr>
        <w:pStyle w:val="Heading1"/>
      </w:pPr>
      <w:r>
        <w:t>4. Преглед и евалуација</w:t>
      </w:r>
    </w:p>
    <w:p>
      <w:r>
        <w:t>Секој производ се разгледува од страна на ангажиран доктор / експерт. Оценката се врши според техничка, практична и безбедносна основа.</w:t>
      </w:r>
    </w:p>
    <w:p>
      <w:pPr>
        <w:pStyle w:val="Heading1"/>
      </w:pPr>
      <w:r>
        <w:t>5. Критериуми за одобрување</w:t>
      </w:r>
    </w:p>
    <w:p>
      <w:r>
        <w:t>- Дали производот е одобрен во земја на ЕУ или САД</w:t>
        <w:br/>
        <w:t>- Дали е придружен со клиничка евалуација или упатство</w:t>
        <w:br/>
        <w:t>- Дали се доставени докази за регистрација или употреба</w:t>
      </w:r>
    </w:p>
    <w:p>
      <w:pPr>
        <w:pStyle w:val="Heading1"/>
      </w:pPr>
      <w:r>
        <w:t>6. Издавање на сертификат</w:t>
      </w:r>
    </w:p>
    <w:p>
      <w:r>
        <w:t>По позитивна евалуација, DIAB-REG издава електронски и/или печатен сертификат со сериски број и QR код за проверка.</w:t>
      </w:r>
    </w:p>
    <w:p>
      <w:pPr>
        <w:pStyle w:val="Heading1"/>
      </w:pPr>
      <w:r>
        <w:t>7. Важност и обновување</w:t>
      </w:r>
    </w:p>
    <w:p>
      <w:r>
        <w:t>Секој сертификат важи 1 година. За продолжување, потребно е повторно поднесување на потврда и подмирување на надоместок.</w:t>
      </w:r>
    </w:p>
    <w:p>
      <w:pPr>
        <w:pStyle w:val="Heading1"/>
      </w:pPr>
      <w:r>
        <w:t>8. Повлекување на сертификат</w:t>
      </w:r>
    </w:p>
    <w:p>
      <w:r>
        <w:t>DIAB-REG го задржува правото да повлече сертификат при злоупотреба, неточни податоци или повлекување на производот од пазарот.</w:t>
      </w:r>
    </w:p>
    <w:p>
      <w:pPr>
        <w:pStyle w:val="Heading1"/>
      </w:pPr>
      <w:r>
        <w:t>9. Жалбен процес</w:t>
      </w:r>
    </w:p>
    <w:p>
      <w:r>
        <w:t>Компаниите имаат право на писмено барање за повторна евалуација во рок од 10 дена од одбивањето.</w:t>
      </w:r>
    </w:p>
    <w:p>
      <w:pPr>
        <w:pStyle w:val="Heading1"/>
      </w:pPr>
      <w:r>
        <w:t>10. Заштита и доверливост</w:t>
      </w:r>
    </w:p>
    <w:p>
      <w:r>
        <w:t>Сите информации се чуваат во доверливост согласно Законот за заштита на лични податоци.</w:t>
      </w:r>
    </w:p>
    <w:p>
      <w:r>
        <w:br/>
        <w:t>Овој правилник стапува на сила од денот на неговото усвојување и е достапен за сите подносители на барање.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