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Testing between ChatGpt, Qwen, API (Qwen-turbo)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 - what's the permit policy when we build a sun-room in Potomac, US?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Reply from API (temp = 0.7, token limit = 300)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Reply from API (temp = 0.7, token limit = 500)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Reply by Qwen, generated after about 1.5 min thinking:-)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Critical Clarification First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This answer assumes you refer to </w:t>
      </w:r>
      <w:r>
        <w:rPr>
          <w:rFonts w:eastAsia="等线" w:ascii="Arial" w:cs="Arial" w:hAnsi="Arial"/>
          <w:b w:val="true"/>
          <w:i w:val="true"/>
          <w:sz w:val="22"/>
        </w:rPr>
        <w:t>Potomac, Maryland</w:t>
      </w:r>
      <w:r>
        <w:rPr>
          <w:rFonts w:eastAsia="等线" w:ascii="Arial" w:cs="Arial" w:hAnsi="Arial"/>
          <w:i w:val="true"/>
          <w:sz w:val="22"/>
        </w:rPr>
        <w:t xml:space="preserve"> (a census-designated place in Montgomery County). If you mean Potomac, Montana or another location, contact that specific jurisdiction’s building department immediately.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📍 </w:t>
      </w:r>
      <w:r>
        <w:rPr>
          <w:rFonts w:eastAsia="等线" w:ascii="Arial" w:cs="Arial" w:hAnsi="Arial"/>
          <w:b w:val="true"/>
          <w:sz w:val="22"/>
        </w:rPr>
        <w:t>Potomac, MD has no independent government</w:t>
      </w:r>
      <w:r>
        <w:rPr>
          <w:rFonts w:eastAsia="等线" w:ascii="Arial" w:cs="Arial" w:hAnsi="Arial"/>
          <w:sz w:val="22"/>
        </w:rPr>
        <w:t xml:space="preserve">—all permits are governed by </w:t>
      </w:r>
      <w:r>
        <w:rPr>
          <w:rFonts w:eastAsia="等线" w:ascii="Arial" w:cs="Arial" w:hAnsi="Arial"/>
          <w:b w:val="true"/>
          <w:sz w:val="22"/>
        </w:rPr>
        <w:t>Montgomery County, Maryland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📜 </w:t>
      </w:r>
      <w:r>
        <w:rPr>
          <w:rFonts w:eastAsia="等线" w:ascii="Arial" w:cs="Arial" w:hAnsi="Arial"/>
          <w:b w:val="true"/>
          <w:sz w:val="22"/>
        </w:rPr>
        <w:t>Permit Policy Summary for Sunroom Construction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🔁 </w:t>
      </w:r>
      <w:r>
        <w:rPr>
          <w:rFonts w:eastAsia="等线" w:ascii="Arial" w:cs="Arial" w:hAnsi="Arial"/>
          <w:b w:val="true"/>
          <w:sz w:val="22"/>
        </w:rPr>
        <w:t>Typical Process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Pre-Application</w:t>
      </w:r>
      <w:r>
        <w:rPr>
          <w:rFonts w:eastAsia="等线" w:ascii="Arial" w:cs="Arial" w:hAnsi="Arial"/>
          <w:sz w:val="22"/>
        </w:rPr>
        <w:t xml:space="preserve">: 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Contact HOA for design approval.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Schedule free pre-application meeting with DPS: </w:t>
      </w:r>
      <w:hyperlink r:id="rId9">
        <w:r>
          <w:rPr>
            <w:rFonts w:eastAsia="等线" w:ascii="Arial" w:cs="Arial" w:hAnsi="Arial"/>
            <w:color w:val="3370ff"/>
            <w:sz w:val="22"/>
          </w:rPr>
          <w:t>DPS Appointments</w:t>
        </w:r>
      </w:hyperlink>
      <w:r>
        <w:rPr>
          <w:rFonts w:eastAsia="等线" w:ascii="Arial" w:cs="Arial" w:hAnsi="Arial"/>
          <w:sz w:val="22"/>
        </w:rPr>
        <w:t>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Submit</w:t>
      </w:r>
      <w:r>
        <w:rPr>
          <w:rFonts w:eastAsia="等线" w:ascii="Arial" w:cs="Arial" w:hAnsi="Arial"/>
          <w:sz w:val="22"/>
        </w:rPr>
        <w:t xml:space="preserve">: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Apply online via </w:t>
      </w:r>
      <w:hyperlink r:id="rId10">
        <w:r>
          <w:rPr>
            <w:rFonts w:eastAsia="等线" w:ascii="Arial" w:cs="Arial" w:hAnsi="Arial"/>
            <w:color w:val="3370ff"/>
            <w:sz w:val="22"/>
          </w:rPr>
          <w:t>ePermit Montgomery</w:t>
        </w:r>
      </w:hyperlink>
      <w:r>
        <w:rPr>
          <w:rFonts w:eastAsia="等线" w:ascii="Arial" w:cs="Arial" w:hAnsi="Arial"/>
          <w:sz w:val="22"/>
        </w:rPr>
        <w:t xml:space="preserve"> with stamped plans, site survey, energy docs, HOA letter.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Review &amp; Fees</w:t>
      </w:r>
      <w:r>
        <w:rPr>
          <w:rFonts w:eastAsia="等线" w:ascii="Arial" w:cs="Arial" w:hAnsi="Arial"/>
          <w:sz w:val="22"/>
        </w:rPr>
        <w:t xml:space="preserve">: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Multi-department review (2–8 weeks). Fees ≈ $300–$1,000+ (based on project valuation).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Inspections</w:t>
      </w:r>
      <w:r>
        <w:rPr>
          <w:rFonts w:eastAsia="等线" w:ascii="Arial" w:cs="Arial" w:hAnsi="Arial"/>
          <w:sz w:val="22"/>
        </w:rPr>
        <w:t xml:space="preserve">: Foundation, framing, final.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Certificate of Occupancy</w:t>
      </w:r>
      <w:r>
        <w:rPr>
          <w:rFonts w:eastAsia="等线" w:ascii="Arial" w:cs="Arial" w:hAnsi="Arial"/>
          <w:sz w:val="22"/>
        </w:rPr>
        <w:t>: Required before use.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Critical Pitfalls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Skipping HOA approval → County application rejected.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Assuming "small sunroom = no permit" → Violation risks fines, forced removal, resale issues.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Ignoring energy code → Glass-heavy designs frequently fail without low-e glazing/insulation specs.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Self-installing structural work → Montgomery County requires licensed contractors for framing, electrical, plumbing.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Action Plan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 jurisdiction</w:t>
      </w:r>
      <w:r>
        <w:rPr>
          <w:rFonts w:eastAsia="等线" w:ascii="Arial" w:cs="Arial" w:hAnsi="Arial"/>
          <w:sz w:val="22"/>
        </w:rPr>
        <w:t xml:space="preserve">: Use </w:t>
      </w:r>
      <w:hyperlink r:id="rId11">
        <w:r>
          <w:rPr>
            <w:rFonts w:eastAsia="等线" w:ascii="Arial" w:cs="Arial" w:hAnsi="Arial"/>
            <w:color w:val="3370ff"/>
            <w:sz w:val="22"/>
          </w:rPr>
          <w:t>Montgomery County Property Lookup</w:t>
        </w:r>
      </w:hyperlink>
      <w:r>
        <w:rPr>
          <w:rFonts w:eastAsia="等线" w:ascii="Arial" w:cs="Arial" w:hAnsi="Arial"/>
          <w:sz w:val="22"/>
        </w:rPr>
        <w:t xml:space="preserve"> with your address.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Contact DPS directly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等线" w:ascii="Arial" w:cs="Arial" w:hAnsi="Arial"/>
          <w:sz w:val="22"/>
        </w:rPr>
        <w:t xml:space="preserve">📞 (240) 777-0311 | </w:t>
      </w:r>
      <w:hyperlink r:id="rId12">
        <w:r>
          <w:rPr>
            <w:rFonts w:eastAsia="等线" w:ascii="Arial" w:cs="Arial" w:hAnsi="Arial"/>
            <w:color w:val="3370ff"/>
            <w:sz w:val="22"/>
          </w:rPr>
          <w:t>dps@montgomerycountymd.gov</w:t>
        </w:r>
      </w:hyperlink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🌐 </w:t>
      </w:r>
      <w:hyperlink r:id="rId13">
        <w:r>
          <w:rPr>
            <w:rFonts w:eastAsia="等线" w:ascii="Arial" w:cs="Arial" w:hAnsi="Arial"/>
            <w:color w:val="3370ff"/>
            <w:sz w:val="22"/>
          </w:rPr>
          <w:t>DPS Sunroom/Room Addition Guide</w:t>
        </w:r>
      </w:hyperlink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Hire locally experienced professionals</w:t>
      </w:r>
      <w:r>
        <w:rPr>
          <w:rFonts w:eastAsia="等线" w:ascii="Arial" w:cs="Arial" w:hAnsi="Arial"/>
          <w:sz w:val="22"/>
        </w:rPr>
        <w:t xml:space="preserve">: Architects/contractors familiar with Montgomery County reviews drastically reduce delays.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everything</w:t>
      </w:r>
      <w:r>
        <w:rPr>
          <w:rFonts w:eastAsia="等线" w:ascii="Arial" w:cs="Arial" w:hAnsi="Arial"/>
          <w:sz w:val="22"/>
        </w:rPr>
        <w:t>: Keep HOA approvals, permit copies, inspection records for future resale.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Disclaimer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: Regulations change. This is informational guidance only.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Always obtain written confirmation from Montgomery County DPS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before design, purchase, or construction. Non-compliance may result in penalties, demolition orders, or title complications. When in doubt—ask the county first! 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Reply by ChatGpt. Generated almost instantly (don't know why).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Here’s a clear summary of </w:t>
      </w:r>
      <w:r>
        <w:rPr>
          <w:rFonts w:eastAsia="等线" w:ascii="Arial" w:cs="Arial" w:hAnsi="Arial"/>
          <w:b w:val="true"/>
          <w:sz w:val="22"/>
        </w:rPr>
        <w:t>permit requirements for building a sunroom in Potomac, Maryland (United States)</w:t>
      </w:r>
      <w:r>
        <w:rPr>
          <w:rFonts w:eastAsia="等线" w:ascii="Arial" w:cs="Arial" w:hAnsi="Arial"/>
          <w:sz w:val="22"/>
        </w:rPr>
        <w:t xml:space="preserve">. </w:t>
      </w:r>
      <w:r>
        <w:rPr>
          <w:rFonts w:eastAsia="等线" w:ascii="Arial" w:cs="Arial" w:hAnsi="Arial"/>
          <w:i w:val="true"/>
          <w:sz w:val="22"/>
        </w:rPr>
        <w:t>Note</w:t>
      </w:r>
      <w:r>
        <w:rPr>
          <w:rFonts w:eastAsia="等线" w:ascii="Arial" w:cs="Arial" w:hAnsi="Arial"/>
          <w:sz w:val="22"/>
        </w:rPr>
        <w:t>: Potomac is unincorporated Montgomery County, so county rules apply.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🏡 1. </w:t>
      </w:r>
      <w:r>
        <w:rPr>
          <w:rFonts w:eastAsia="等线" w:ascii="Arial" w:cs="Arial" w:hAnsi="Arial"/>
          <w:b w:val="true"/>
          <w:sz w:val="22"/>
        </w:rPr>
        <w:t>Building Permit Required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Yes — in </w:t>
      </w:r>
      <w:r>
        <w:rPr>
          <w:rFonts w:eastAsia="等线" w:ascii="Arial" w:cs="Arial" w:hAnsi="Arial"/>
          <w:b w:val="true"/>
          <w:sz w:val="22"/>
        </w:rPr>
        <w:t>Montgomery County, MD</w:t>
      </w:r>
      <w:r>
        <w:rPr>
          <w:rFonts w:eastAsia="等线" w:ascii="Arial" w:cs="Arial" w:hAnsi="Arial"/>
          <w:sz w:val="22"/>
        </w:rPr>
        <w:t xml:space="preserve">, you </w:t>
      </w:r>
      <w:r>
        <w:rPr>
          <w:rFonts w:eastAsia="等线" w:ascii="Arial" w:cs="Arial" w:hAnsi="Arial"/>
          <w:b w:val="true"/>
          <w:sz w:val="22"/>
        </w:rPr>
        <w:t>must obtain a building permit</w:t>
      </w:r>
      <w:r>
        <w:rPr>
          <w:rFonts w:eastAsia="等线" w:ascii="Arial" w:cs="Arial" w:hAnsi="Arial"/>
          <w:sz w:val="22"/>
        </w:rPr>
        <w:t xml:space="preserve"> before constructing a </w:t>
      </w:r>
      <w:r>
        <w:rPr>
          <w:rFonts w:eastAsia="等线" w:ascii="Arial" w:cs="Arial" w:hAnsi="Arial"/>
          <w:b w:val="true"/>
          <w:sz w:val="22"/>
        </w:rPr>
        <w:t>sunroom/solarium/room addition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sunroom is typically classified as a </w:t>
      </w:r>
      <w:r>
        <w:rPr>
          <w:rFonts w:eastAsia="等线" w:ascii="Arial" w:cs="Arial" w:hAnsi="Arial"/>
          <w:b w:val="true"/>
          <w:sz w:val="22"/>
        </w:rPr>
        <w:t>room addition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alteration to the existing structure</w:t>
      </w:r>
      <w:r>
        <w:rPr>
          <w:rFonts w:eastAsia="等线" w:ascii="Arial" w:cs="Arial" w:hAnsi="Arial"/>
          <w:sz w:val="22"/>
        </w:rPr>
        <w:t>, and is NOT exempt from permitting.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📜 2. </w:t>
      </w:r>
      <w:r>
        <w:rPr>
          <w:rFonts w:eastAsia="等线" w:ascii="Arial" w:cs="Arial" w:hAnsi="Arial"/>
          <w:b w:val="true"/>
          <w:sz w:val="22"/>
        </w:rPr>
        <w:t>Which Permits Are Typically Needed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will generally need: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</w:t>
      </w:r>
      <w:r>
        <w:rPr>
          <w:rFonts w:eastAsia="等线" w:ascii="Arial" w:cs="Arial" w:hAnsi="Arial"/>
          <w:b w:val="true"/>
          <w:sz w:val="22"/>
        </w:rPr>
        <w:t>Building Permit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for: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Structural construction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Footers, foundation work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Framing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Walls, floor, roof extensions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</w:t>
      </w:r>
      <w:r>
        <w:rPr>
          <w:rFonts w:eastAsia="等线" w:ascii="Arial" w:cs="Arial" w:hAnsi="Arial"/>
          <w:b w:val="true"/>
          <w:sz w:val="22"/>
        </w:rPr>
        <w:t>Electrical Permit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install lighting, outlets, ceiling fans, wiring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</w:t>
      </w:r>
      <w:r>
        <w:rPr>
          <w:rFonts w:eastAsia="等线" w:ascii="Arial" w:cs="Arial" w:hAnsi="Arial"/>
          <w:b w:val="true"/>
          <w:sz w:val="22"/>
        </w:rPr>
        <w:t>Mechanical Permit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install HVAC equipment, vents, ductwork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</w:t>
      </w:r>
      <w:r>
        <w:rPr>
          <w:rFonts w:eastAsia="等线" w:ascii="Arial" w:cs="Arial" w:hAnsi="Arial"/>
          <w:b w:val="true"/>
          <w:sz w:val="22"/>
        </w:rPr>
        <w:t>Plumbing Permit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Rare for a sunroom </w:t>
      </w:r>
      <w:r>
        <w:rPr>
          <w:rFonts w:eastAsia="等线" w:ascii="Arial" w:cs="Arial" w:hAnsi="Arial"/>
          <w:b w:val="true"/>
          <w:sz w:val="22"/>
        </w:rPr>
        <w:t>unless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add a sink, bathroom, or wet-bar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</w:t>
      </w:r>
      <w:r>
        <w:rPr>
          <w:rFonts w:eastAsia="等线" w:ascii="Arial" w:cs="Arial" w:hAnsi="Arial"/>
          <w:b w:val="true"/>
          <w:sz w:val="22"/>
        </w:rPr>
        <w:t>Energy Compliance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Sunrooms must meet </w:t>
      </w:r>
      <w:r>
        <w:rPr>
          <w:rFonts w:eastAsia="等线" w:ascii="Arial" w:cs="Arial" w:hAnsi="Arial"/>
          <w:b w:val="true"/>
          <w:sz w:val="22"/>
        </w:rPr>
        <w:t>energy efficiency standards</w:t>
      </w:r>
      <w:r>
        <w:rPr>
          <w:rFonts w:eastAsia="等线" w:ascii="Arial" w:cs="Arial" w:hAnsi="Arial"/>
          <w:sz w:val="22"/>
        </w:rPr>
        <w:t xml:space="preserve"> under the </w:t>
      </w:r>
      <w:r>
        <w:rPr>
          <w:rFonts w:eastAsia="等线" w:ascii="Arial" w:cs="Arial" w:hAnsi="Arial"/>
          <w:b w:val="true"/>
          <w:sz w:val="22"/>
        </w:rPr>
        <w:t>Maryland Energy Code</w:t>
      </w:r>
      <w:r>
        <w:rPr>
          <w:rFonts w:eastAsia="等线" w:ascii="Arial" w:cs="Arial" w:hAnsi="Arial"/>
          <w:sz w:val="22"/>
        </w:rPr>
        <w:t xml:space="preserve"> (insulation, glazing, thermal performance).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🧱 3. </w:t>
      </w:r>
      <w:r>
        <w:rPr>
          <w:rFonts w:eastAsia="等线" w:ascii="Arial" w:cs="Arial" w:hAnsi="Arial"/>
          <w:b w:val="true"/>
          <w:sz w:val="22"/>
        </w:rPr>
        <w:t>Code &amp; Standards That Apply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project must comply with: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2018/2021 International Residential Code (IRC) – structure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Maryland Building Performance Standards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Montgomery County amendments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Energy Code (insulation, fenestration U-factor requirements)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📐 4. </w:t>
      </w:r>
      <w:r>
        <w:rPr>
          <w:rFonts w:eastAsia="等线" w:ascii="Arial" w:cs="Arial" w:hAnsi="Arial"/>
          <w:b w:val="true"/>
          <w:sz w:val="22"/>
        </w:rPr>
        <w:t>Site Plans &amp; Drawings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applying, you must submit: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Scaled site plan (showing property lines &amp; setbacks)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Construction plans (floor, elevations, roof)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Foundation/structural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HVAC / electrical layouts (if applicable)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Energy compliance forms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🚧 5. </w:t>
      </w:r>
      <w:r>
        <w:rPr>
          <w:rFonts w:eastAsia="等线" w:ascii="Arial" w:cs="Arial" w:hAnsi="Arial"/>
          <w:b w:val="true"/>
          <w:sz w:val="22"/>
        </w:rPr>
        <w:t>Setback &amp; Zoning Rules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Sunrooms must obey: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🏠 </w:t>
      </w:r>
      <w:r>
        <w:rPr>
          <w:rFonts w:eastAsia="等线" w:ascii="Arial" w:cs="Arial" w:hAnsi="Arial"/>
          <w:b w:val="true"/>
          <w:sz w:val="22"/>
        </w:rPr>
        <w:t>Setbacks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distance from: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 property line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Side &amp; rear property lines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distances depend on: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Zoning district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Lot 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 For many residential zones in Montgomery County: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Rear setback ~ 25 ft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Side setbacks ~ 8–10 ft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 your specific zoning designation</w:t>
      </w:r>
      <w:r>
        <w:rPr>
          <w:rFonts w:eastAsia="等线" w:ascii="Arial" w:cs="Arial" w:hAnsi="Arial"/>
          <w:sz w:val="22"/>
        </w:rPr>
        <w:t xml:space="preserve"> on county maps to confirm.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🧯 6. </w:t>
      </w:r>
      <w:r>
        <w:rPr>
          <w:rFonts w:eastAsia="等线" w:ascii="Arial" w:cs="Arial" w:hAnsi="Arial"/>
          <w:b w:val="true"/>
          <w:sz w:val="22"/>
        </w:rPr>
        <w:t>Historic or Environmental Overlay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your home is: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✔ In a </w:t>
      </w:r>
      <w:r>
        <w:rPr>
          <w:rFonts w:eastAsia="等线" w:ascii="Arial" w:cs="Arial" w:hAnsi="Arial"/>
          <w:b w:val="true"/>
          <w:sz w:val="22"/>
        </w:rPr>
        <w:t>historic district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✔ In an </w:t>
      </w:r>
      <w:r>
        <w:rPr>
          <w:rFonts w:eastAsia="等线" w:ascii="Arial" w:cs="Arial" w:hAnsi="Arial"/>
          <w:b w:val="true"/>
          <w:sz w:val="22"/>
        </w:rPr>
        <w:t>environmentally sensitive area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may need </w:t>
      </w:r>
      <w:r>
        <w:rPr>
          <w:rFonts w:eastAsia="等线" w:ascii="Arial" w:cs="Arial" w:hAnsi="Arial"/>
          <w:b w:val="true"/>
          <w:sz w:val="22"/>
        </w:rPr>
        <w:t>additional approvals</w:t>
      </w:r>
      <w:r>
        <w:rPr>
          <w:rFonts w:eastAsia="等线" w:ascii="Arial" w:cs="Arial" w:hAnsi="Arial"/>
          <w:sz w:val="22"/>
        </w:rPr>
        <w:t xml:space="preserve"> (Historic Preservation Commission, environmental reviews).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🚪 7. </w:t>
      </w:r>
      <w:r>
        <w:rPr>
          <w:rFonts w:eastAsia="等线" w:ascii="Arial" w:cs="Arial" w:hAnsi="Arial"/>
          <w:b w:val="true"/>
          <w:sz w:val="22"/>
        </w:rPr>
        <w:t>Contractor Licensing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hire others to do the work: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Contractors must be licensed &amp; insured in Maryland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Permits must list the licensed contractor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(Homeowner can pull the permit if owner-builder, but county requirements still apply)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🕐 8. </w:t>
      </w:r>
      <w:r>
        <w:rPr>
          <w:rFonts w:eastAsia="等线" w:ascii="Arial" w:cs="Arial" w:hAnsi="Arial"/>
          <w:b w:val="true"/>
          <w:sz w:val="22"/>
        </w:rPr>
        <w:t>Inspections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permit is issued, you must pass a series of inspections at key stages: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Footing/foundation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Framing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Electrical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Mechanical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 Final inspection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conceal work until inspections pass.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📇 9. </w:t>
      </w:r>
      <w:r>
        <w:rPr>
          <w:rFonts w:eastAsia="等线" w:ascii="Arial" w:cs="Arial" w:hAnsi="Arial"/>
          <w:b w:val="true"/>
          <w:sz w:val="22"/>
        </w:rPr>
        <w:t>Fees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Permit fees depend on: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 valuation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(electrical/mechanical/plumbing)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Montgomery County uses a </w:t>
      </w:r>
      <w:r>
        <w:rPr>
          <w:rFonts w:eastAsia="等线" w:ascii="Arial" w:cs="Arial" w:hAnsi="Arial"/>
          <w:b w:val="true"/>
          <w:sz w:val="22"/>
        </w:rPr>
        <w:t>valuation-based fee schedule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📍 10. </w:t>
      </w:r>
      <w:r>
        <w:rPr>
          <w:rFonts w:eastAsia="等线" w:ascii="Arial" w:cs="Arial" w:hAnsi="Arial"/>
          <w:b w:val="true"/>
          <w:sz w:val="22"/>
        </w:rPr>
        <w:t>How to Apply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can apply by: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🖥 Online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Through </w:t>
      </w:r>
      <w:r>
        <w:rPr>
          <w:rFonts w:eastAsia="等线" w:ascii="Arial" w:cs="Arial" w:hAnsi="Arial"/>
          <w:b w:val="true"/>
          <w:sz w:val="22"/>
        </w:rPr>
        <w:t>Permits &amp; Licensing System</w:t>
      </w:r>
      <w:r>
        <w:rPr>
          <w:rFonts w:eastAsia="等线" w:ascii="Arial" w:cs="Arial" w:hAnsi="Arial"/>
          <w:sz w:val="22"/>
        </w:rPr>
        <w:t>:</w:t>
        <w:br/>
      </w:r>
      <w:hyperlink r:id="rId14">
        <w:r>
          <w:rPr>
            <w:rFonts w:eastAsia="等线" w:ascii="Arial" w:cs="Arial" w:hAnsi="Arial"/>
            <w:color w:val="3370ff"/>
            <w:sz w:val="22"/>
          </w:rPr>
          <w:t>https://aca.accela.com/montgomerycounty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📞 In-Person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Montgomery County permit offices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You’ll need: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Property address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Tax ID (MC#)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Contractor 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 Construction drawings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🧠 Quick Checklist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starting a sunroom project in Potomac: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Check zoning &amp; setbacks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Draft architectural &amp; structural plans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Submit permit applications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Address energy compliance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Schedule inspections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Important Notes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🔹 Even small additions like sunrooms require compliance — </w:t>
      </w:r>
      <w:r>
        <w:rPr>
          <w:rFonts w:eastAsia="等线" w:ascii="Arial" w:cs="Arial" w:hAnsi="Arial"/>
          <w:b w:val="true"/>
          <w:sz w:val="22"/>
        </w:rPr>
        <w:t>don’t assume “no permit”</w:t>
      </w:r>
      <w:r>
        <w:rPr>
          <w:rFonts w:eastAsia="等线" w:ascii="Arial" w:cs="Arial" w:hAnsi="Arial"/>
          <w:sz w:val="22"/>
        </w:rPr>
        <w:t>.</w:t>
        <w:br/>
        <w:t>🔹 Unpermitted work can lead to fines and forced removal.</w:t>
        <w:br/>
      </w:r>
      <w:r>
        <w:rPr>
          <w:rFonts w:eastAsia="等线" w:ascii="Arial" w:cs="Arial" w:hAnsi="Arial"/>
          <w:sz w:val="22"/>
        </w:rPr>
        <w:t xml:space="preserve">🔹 Always consult the </w:t>
      </w:r>
      <w:r>
        <w:rPr>
          <w:rFonts w:eastAsia="等线" w:ascii="Arial" w:cs="Arial" w:hAnsi="Arial"/>
          <w:b w:val="true"/>
          <w:sz w:val="22"/>
        </w:rPr>
        <w:t>Montgomery County Code Enforcement Division</w:t>
      </w:r>
      <w:r>
        <w:rPr>
          <w:rFonts w:eastAsia="等线" w:ascii="Arial" w:cs="Arial" w:hAnsi="Arial"/>
          <w:sz w:val="22"/>
        </w:rPr>
        <w:t xml:space="preserve"> if unsure.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want, I can also prepare:</w:t>
        <w:br/>
      </w:r>
      <w:r>
        <w:rPr>
          <w:rFonts w:eastAsia="等线" w:ascii="Arial" w:cs="Arial" w:hAnsi="Arial"/>
          <w:sz w:val="22"/>
        </w:rPr>
        <w:t xml:space="preserve">📌 A </w:t>
      </w:r>
      <w:r>
        <w:rPr>
          <w:rFonts w:eastAsia="等线" w:ascii="Arial" w:cs="Arial" w:hAnsi="Arial"/>
          <w:b w:val="true"/>
          <w:sz w:val="22"/>
        </w:rPr>
        <w:t>step-by-step permit application checklist</w:t>
      </w:r>
      <w:r>
        <w:rPr>
          <w:rFonts w:eastAsia="等线" w:ascii="Arial" w:cs="Arial" w:hAnsi="Arial"/>
          <w:sz w:val="22"/>
        </w:rPr>
        <w:t>,</w:t>
        <w:br/>
      </w:r>
      <w:r>
        <w:rPr>
          <w:rFonts w:eastAsia="等线" w:ascii="Arial" w:cs="Arial" w:hAnsi="Arial"/>
          <w:sz w:val="22"/>
        </w:rPr>
        <w:t xml:space="preserve">📌 A </w:t>
      </w:r>
      <w:r>
        <w:rPr>
          <w:rFonts w:eastAsia="等线" w:ascii="Arial" w:cs="Arial" w:hAnsi="Arial"/>
          <w:b w:val="true"/>
          <w:sz w:val="22"/>
        </w:rPr>
        <w:t>summary of costs/fees</w:t>
      </w:r>
      <w:r>
        <w:rPr>
          <w:rFonts w:eastAsia="等线" w:ascii="Arial" w:cs="Arial" w:hAnsi="Arial"/>
          <w:sz w:val="22"/>
        </w:rPr>
        <w:t xml:space="preserve"> for similar projects,</w:t>
        <w:br/>
      </w:r>
      <w:r>
        <w:rPr>
          <w:rFonts w:eastAsia="等线" w:ascii="Arial" w:cs="Arial" w:hAnsi="Arial"/>
          <w:sz w:val="22"/>
        </w:rPr>
        <w:t>📌 Or a sample set of required document templates.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Just let me know!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Take-away from the testing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answer from both ChatGPT and Qwen looks good, but will be quite token consuming.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token limit (300 vs 500) does not tell big difference. Shall we push up the limit, which will stand for the cost rising?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that due to the temperature setting?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50">
    <w:lvl>
      <w:start w:val="1"/>
      <w:numFmt w:val="decimal"/>
      <w:suff w:val="tab"/>
      <w:lvlText w:val="%1."/>
      <w:rPr>
        <w:color w:val="3370ff"/>
      </w:rPr>
    </w:lvl>
  </w:abstractNum>
  <w:abstractNum w:abstractNumId="4251">
    <w:lvl>
      <w:numFmt w:val="bullet"/>
      <w:suff w:val="tab"/>
      <w:lvlText w:val="￮"/>
      <w:rPr>
        <w:color w:val="3370ff"/>
      </w:rPr>
    </w:lvl>
  </w:abstractNum>
  <w:abstractNum w:abstractNumId="4252">
    <w:lvl>
      <w:numFmt w:val="bullet"/>
      <w:suff w:val="tab"/>
      <w:lvlText w:val="￮"/>
      <w:rPr>
        <w:color w:val="3370ff"/>
      </w:rPr>
    </w:lvl>
  </w:abstractNum>
  <w:abstractNum w:abstractNumId="4253">
    <w:lvl>
      <w:start w:val="2"/>
      <w:numFmt w:val="decimal"/>
      <w:suff w:val="tab"/>
      <w:lvlText w:val="%1."/>
      <w:rPr>
        <w:color w:val="3370ff"/>
      </w:rPr>
    </w:lvl>
  </w:abstractNum>
  <w:abstractNum w:abstractNumId="4254">
    <w:lvl>
      <w:numFmt w:val="bullet"/>
      <w:suff w:val="tab"/>
      <w:lvlText w:val="￮"/>
      <w:rPr>
        <w:color w:val="3370ff"/>
      </w:rPr>
    </w:lvl>
  </w:abstractNum>
  <w:abstractNum w:abstractNumId="4255">
    <w:lvl>
      <w:start w:val="3"/>
      <w:numFmt w:val="decimal"/>
      <w:suff w:val="tab"/>
      <w:lvlText w:val="%1."/>
      <w:rPr>
        <w:color w:val="3370ff"/>
      </w:rPr>
    </w:lvl>
  </w:abstractNum>
  <w:abstractNum w:abstractNumId="4256">
    <w:lvl>
      <w:numFmt w:val="bullet"/>
      <w:suff w:val="tab"/>
      <w:lvlText w:val="￮"/>
      <w:rPr>
        <w:color w:val="3370ff"/>
      </w:rPr>
    </w:lvl>
  </w:abstractNum>
  <w:abstractNum w:abstractNumId="4257">
    <w:lvl>
      <w:start w:val="4"/>
      <w:numFmt w:val="decimal"/>
      <w:suff w:val="tab"/>
      <w:lvlText w:val="%1."/>
      <w:rPr>
        <w:color w:val="3370ff"/>
      </w:rPr>
    </w:lvl>
  </w:abstractNum>
  <w:abstractNum w:abstractNumId="4258">
    <w:lvl>
      <w:start w:val="5"/>
      <w:numFmt w:val="decimal"/>
      <w:suff w:val="tab"/>
      <w:lvlText w:val="%1."/>
      <w:rPr>
        <w:color w:val="3370ff"/>
      </w:rPr>
    </w:lvl>
  </w:abstractNum>
  <w:abstractNum w:abstractNumId="4259">
    <w:lvl>
      <w:numFmt w:val="bullet"/>
      <w:suff w:val="tab"/>
      <w:lvlText w:val="•"/>
      <w:rPr>
        <w:color w:val="3370ff"/>
      </w:rPr>
    </w:lvl>
  </w:abstractNum>
  <w:abstractNum w:abstractNumId="4260">
    <w:lvl>
      <w:numFmt w:val="bullet"/>
      <w:suff w:val="tab"/>
      <w:lvlText w:val="•"/>
      <w:rPr>
        <w:color w:val="3370ff"/>
      </w:rPr>
    </w:lvl>
  </w:abstractNum>
  <w:abstractNum w:abstractNumId="4261">
    <w:lvl>
      <w:numFmt w:val="bullet"/>
      <w:suff w:val="tab"/>
      <w:lvlText w:val="•"/>
      <w:rPr>
        <w:color w:val="3370ff"/>
      </w:rPr>
    </w:lvl>
  </w:abstractNum>
  <w:abstractNum w:abstractNumId="4262">
    <w:lvl>
      <w:numFmt w:val="bullet"/>
      <w:suff w:val="tab"/>
      <w:lvlText w:val="•"/>
      <w:rPr>
        <w:color w:val="3370ff"/>
      </w:rPr>
    </w:lvl>
  </w:abstractNum>
  <w:abstractNum w:abstractNumId="4263">
    <w:lvl>
      <w:start w:val="1"/>
      <w:numFmt w:val="decimal"/>
      <w:suff w:val="tab"/>
      <w:lvlText w:val="%1."/>
      <w:rPr>
        <w:color w:val="3370ff"/>
      </w:rPr>
    </w:lvl>
  </w:abstractNum>
  <w:abstractNum w:abstractNumId="4264">
    <w:lvl>
      <w:start w:val="2"/>
      <w:numFmt w:val="decimal"/>
      <w:suff w:val="tab"/>
      <w:lvlText w:val="%1."/>
      <w:rPr>
        <w:color w:val="3370ff"/>
      </w:rPr>
    </w:lvl>
  </w:abstractNum>
  <w:abstractNum w:abstractNumId="4265">
    <w:lvl>
      <w:start w:val="3"/>
      <w:numFmt w:val="decimal"/>
      <w:suff w:val="tab"/>
      <w:lvlText w:val="%1."/>
      <w:rPr>
        <w:color w:val="3370ff"/>
      </w:rPr>
    </w:lvl>
  </w:abstractNum>
  <w:abstractNum w:abstractNumId="4266">
    <w:lvl>
      <w:start w:val="4"/>
      <w:numFmt w:val="decimal"/>
      <w:suff w:val="tab"/>
      <w:lvlText w:val="%1."/>
      <w:rPr>
        <w:color w:val="3370ff"/>
      </w:rPr>
    </w:lvl>
  </w:abstractNum>
  <w:abstractNum w:abstractNumId="4267">
    <w:lvl>
      <w:numFmt w:val="bullet"/>
      <w:suff w:val="tab"/>
      <w:lvlText w:val="•"/>
      <w:rPr>
        <w:color w:val="3370ff"/>
      </w:rPr>
    </w:lvl>
  </w:abstractNum>
  <w:abstractNum w:abstractNumId="4268">
    <w:lvl>
      <w:numFmt w:val="bullet"/>
      <w:suff w:val="tab"/>
      <w:lvlText w:val="•"/>
      <w:rPr>
        <w:color w:val="3370ff"/>
      </w:rPr>
    </w:lvl>
  </w:abstractNum>
  <w:abstractNum w:abstractNumId="4269">
    <w:lvl>
      <w:numFmt w:val="bullet"/>
      <w:suff w:val="tab"/>
      <w:lvlText w:val="•"/>
      <w:rPr>
        <w:color w:val="3370ff"/>
      </w:rPr>
    </w:lvl>
  </w:abstractNum>
  <w:abstractNum w:abstractNumId="4270">
    <w:lvl>
      <w:numFmt w:val="bullet"/>
      <w:suff w:val="tab"/>
      <w:lvlText w:val="•"/>
      <w:rPr>
        <w:color w:val="3370ff"/>
      </w:rPr>
    </w:lvl>
  </w:abstractNum>
  <w:abstractNum w:abstractNumId="4271">
    <w:lvl>
      <w:numFmt w:val="bullet"/>
      <w:suff w:val="tab"/>
      <w:lvlText w:val="•"/>
      <w:rPr>
        <w:color w:val="3370ff"/>
      </w:rPr>
    </w:lvl>
  </w:abstractNum>
  <w:abstractNum w:abstractNumId="4272">
    <w:lvl>
      <w:numFmt w:val="bullet"/>
      <w:suff w:val="tab"/>
      <w:lvlText w:val="•"/>
      <w:rPr>
        <w:color w:val="3370ff"/>
      </w:rPr>
    </w:lvl>
  </w:abstractNum>
  <w:abstractNum w:abstractNumId="4273">
    <w:lvl>
      <w:numFmt w:val="bullet"/>
      <w:suff w:val="tab"/>
      <w:lvlText w:val="•"/>
      <w:rPr>
        <w:color w:val="3370ff"/>
      </w:rPr>
    </w:lvl>
  </w:abstractNum>
  <w:abstractNum w:abstractNumId="4274">
    <w:lvl>
      <w:numFmt w:val="bullet"/>
      <w:suff w:val="tab"/>
      <w:lvlText w:val="•"/>
      <w:rPr>
        <w:color w:val="3370ff"/>
      </w:rPr>
    </w:lvl>
  </w:abstractNum>
  <w:abstractNum w:abstractNumId="4275">
    <w:lvl>
      <w:numFmt w:val="bullet"/>
      <w:suff w:val="tab"/>
      <w:lvlText w:val="•"/>
      <w:rPr>
        <w:color w:val="3370ff"/>
      </w:rPr>
    </w:lvl>
  </w:abstractNum>
  <w:abstractNum w:abstractNumId="4276">
    <w:lvl>
      <w:numFmt w:val="bullet"/>
      <w:suff w:val="tab"/>
      <w:lvlText w:val="•"/>
      <w:rPr>
        <w:color w:val="3370ff"/>
      </w:rPr>
    </w:lvl>
  </w:abstractNum>
  <w:abstractNum w:abstractNumId="4277">
    <w:lvl>
      <w:numFmt w:val="bullet"/>
      <w:suff w:val="tab"/>
      <w:lvlText w:val="•"/>
      <w:rPr>
        <w:color w:val="3370ff"/>
      </w:rPr>
    </w:lvl>
  </w:abstractNum>
  <w:abstractNum w:abstractNumId="4278">
    <w:lvl>
      <w:numFmt w:val="bullet"/>
      <w:suff w:val="tab"/>
      <w:lvlText w:val="•"/>
      <w:rPr>
        <w:color w:val="3370ff"/>
      </w:rPr>
    </w:lvl>
  </w:abstractNum>
  <w:abstractNum w:abstractNumId="4279">
    <w:lvl>
      <w:numFmt w:val="bullet"/>
      <w:suff w:val="tab"/>
      <w:lvlText w:val="•"/>
      <w:rPr>
        <w:color w:val="3370ff"/>
      </w:rPr>
    </w:lvl>
  </w:abstractNum>
  <w:abstractNum w:abstractNumId="4280">
    <w:lvl>
      <w:numFmt w:val="bullet"/>
      <w:suff w:val="tab"/>
      <w:lvlText w:val="•"/>
      <w:rPr>
        <w:color w:val="3370ff"/>
      </w:rPr>
    </w:lvl>
  </w:abstractNum>
  <w:abstractNum w:abstractNumId="4281">
    <w:lvl>
      <w:numFmt w:val="bullet"/>
      <w:suff w:val="tab"/>
      <w:lvlText w:val="•"/>
      <w:rPr>
        <w:color w:val="3370ff"/>
      </w:rPr>
    </w:lvl>
  </w:abstractNum>
  <w:abstractNum w:abstractNumId="4282">
    <w:lvl>
      <w:start w:val="1"/>
      <w:numFmt w:val="decimal"/>
      <w:suff w:val="tab"/>
      <w:lvlText w:val="%1."/>
      <w:rPr>
        <w:color w:val="3370ff"/>
      </w:rPr>
    </w:lvl>
  </w:abstractNum>
  <w:abstractNum w:abstractNumId="4283">
    <w:lvl>
      <w:start w:val="2"/>
      <w:numFmt w:val="decimal"/>
      <w:suff w:val="tab"/>
      <w:lvlText w:val="%1."/>
      <w:rPr>
        <w:color w:val="3370ff"/>
      </w:rPr>
    </w:lvl>
  </w:abstractNum>
  <w:abstractNum w:abstractNumId="428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50"/>
  </w:num>
  <w:num w:numId="2">
    <w:abstractNumId w:val="4251"/>
  </w:num>
  <w:num w:numId="3">
    <w:abstractNumId w:val="4252"/>
  </w:num>
  <w:num w:numId="4">
    <w:abstractNumId w:val="4253"/>
  </w:num>
  <w:num w:numId="5">
    <w:abstractNumId w:val="4254"/>
  </w:num>
  <w:num w:numId="6">
    <w:abstractNumId w:val="4255"/>
  </w:num>
  <w:num w:numId="7">
    <w:abstractNumId w:val="4256"/>
  </w:num>
  <w:num w:numId="8">
    <w:abstractNumId w:val="4257"/>
  </w:num>
  <w:num w:numId="9">
    <w:abstractNumId w:val="4258"/>
  </w:num>
  <w:num w:numId="10">
    <w:abstractNumId w:val="4259"/>
  </w:num>
  <w:num w:numId="11">
    <w:abstractNumId w:val="4260"/>
  </w:num>
  <w:num w:numId="12">
    <w:abstractNumId w:val="4261"/>
  </w:num>
  <w:num w:numId="13">
    <w:abstractNumId w:val="4262"/>
  </w:num>
  <w:num w:numId="14">
    <w:abstractNumId w:val="4263"/>
  </w:num>
  <w:num w:numId="15">
    <w:abstractNumId w:val="4264"/>
  </w:num>
  <w:num w:numId="16">
    <w:abstractNumId w:val="4265"/>
  </w:num>
  <w:num w:numId="17">
    <w:abstractNumId w:val="4266"/>
  </w:num>
  <w:num w:numId="18">
    <w:abstractNumId w:val="4267"/>
  </w:num>
  <w:num w:numId="19">
    <w:abstractNumId w:val="4268"/>
  </w:num>
  <w:num w:numId="20">
    <w:abstractNumId w:val="4269"/>
  </w:num>
  <w:num w:numId="21">
    <w:abstractNumId w:val="4270"/>
  </w:num>
  <w:num w:numId="22">
    <w:abstractNumId w:val="4271"/>
  </w:num>
  <w:num w:numId="23">
    <w:abstractNumId w:val="4272"/>
  </w:num>
  <w:num w:numId="24">
    <w:abstractNumId w:val="4273"/>
  </w:num>
  <w:num w:numId="25">
    <w:abstractNumId w:val="4274"/>
  </w:num>
  <w:num w:numId="26">
    <w:abstractNumId w:val="4275"/>
  </w:num>
  <w:num w:numId="27">
    <w:abstractNumId w:val="4276"/>
  </w:num>
  <w:num w:numId="28">
    <w:abstractNumId w:val="4277"/>
  </w:num>
  <w:num w:numId="29">
    <w:abstractNumId w:val="4278"/>
  </w:num>
  <w:num w:numId="30">
    <w:abstractNumId w:val="4279"/>
  </w:num>
  <w:num w:numId="31">
    <w:abstractNumId w:val="4280"/>
  </w:num>
  <w:num w:numId="32">
    <w:abstractNumId w:val="4281"/>
  </w:num>
  <w:num w:numId="33">
    <w:abstractNumId w:val="4282"/>
  </w:num>
  <w:num w:numId="34">
    <w:abstractNumId w:val="4283"/>
  </w:num>
  <w:num w:numId="35">
    <w:abstractNumId w:val="42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epermit.montgomerycountymd.gov/" TargetMode="External" Type="http://schemas.openxmlformats.org/officeDocument/2006/relationships/hyperlink"/><Relationship Id="rId11" Target="https://www.montgomerycountymd.gov/assessor/" TargetMode="External" Type="http://schemas.openxmlformats.org/officeDocument/2006/relationships/hyperlink"/><Relationship Id="rId12" Target="mailto:dps@montgomerycountymd.gov" TargetMode="External" Type="http://schemas.openxmlformats.org/officeDocument/2006/relationships/hyperlink"/><Relationship Id="rId13" Target="https://www.montgomerycountymd.gov/DPS/services/residential/additions.html" TargetMode="External" Type="http://schemas.openxmlformats.org/officeDocument/2006/relationships/hyperlink"/><Relationship Id="rId14" Target="https://aca.accela.com/montgomerycounty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numbering.xml" Type="http://schemas.openxmlformats.org/officeDocument/2006/relationships/numbering"/><Relationship Id="rId9" Target="https://www.montgomerycountymd.gov/DPS/services/appointments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2026-02-12T02:30:36Z</dcterms:created>
  <dc:creator>Apache POI</dc:creator>
</cp:coreProperties>
</file>