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5E820" w14:textId="77777777" w:rsidR="009C21D6" w:rsidRDefault="009C21D6" w:rsidP="0005400B">
      <w:pPr>
        <w:pStyle w:val="BodyText"/>
        <w:jc w:val="center"/>
        <w:rPr>
          <w:rFonts w:asciiTheme="majorHAnsi" w:hAnsiTheme="majorHAnsi"/>
          <w:b/>
          <w:sz w:val="36"/>
          <w:szCs w:val="36"/>
        </w:rPr>
      </w:pPr>
    </w:p>
    <w:p w14:paraId="36DF7BD6" w14:textId="0A6EAEF3" w:rsidR="00CF72B8" w:rsidRPr="001A1E56" w:rsidRDefault="00E94A20" w:rsidP="0005400B">
      <w:pPr>
        <w:pStyle w:val="BodyText"/>
        <w:jc w:val="center"/>
        <w:rPr>
          <w:rFonts w:asciiTheme="majorHAnsi" w:hAnsiTheme="majorHAnsi"/>
          <w:b/>
          <w:sz w:val="28"/>
          <w:szCs w:val="22"/>
        </w:rPr>
      </w:pPr>
      <w:r w:rsidRPr="001A1E56">
        <w:rPr>
          <w:rFonts w:asciiTheme="majorHAnsi" w:hAnsiTheme="majorHAnsi"/>
          <w:b/>
          <w:sz w:val="28"/>
          <w:szCs w:val="22"/>
        </w:rPr>
        <w:t>CRITERIA OF MAKING PAYMENTS TO NON-EXECUTIVE DIRECTOR</w:t>
      </w:r>
    </w:p>
    <w:p w14:paraId="369EA094" w14:textId="77777777" w:rsidR="00CF72B8" w:rsidRPr="009C21D6" w:rsidRDefault="00CF72B8">
      <w:pPr>
        <w:pStyle w:val="BodyText"/>
        <w:spacing w:before="10"/>
        <w:rPr>
          <w:rFonts w:asciiTheme="majorHAnsi" w:hAnsiTheme="majorHAnsi"/>
          <w:sz w:val="22"/>
          <w:szCs w:val="22"/>
        </w:rPr>
      </w:pPr>
    </w:p>
    <w:p w14:paraId="7E830D74" w14:textId="77777777" w:rsidR="00CF72B8" w:rsidRPr="009C21D6" w:rsidRDefault="0005400B">
      <w:pPr>
        <w:pStyle w:val="Heading1"/>
        <w:spacing w:before="1"/>
        <w:rPr>
          <w:rFonts w:asciiTheme="majorHAnsi" w:hAnsiTheme="majorHAnsi"/>
          <w:sz w:val="22"/>
          <w:szCs w:val="22"/>
        </w:rPr>
      </w:pPr>
      <w:r w:rsidRPr="009C21D6">
        <w:rPr>
          <w:rFonts w:asciiTheme="majorHAnsi" w:hAnsiTheme="majorHAnsi"/>
          <w:sz w:val="22"/>
          <w:szCs w:val="22"/>
        </w:rPr>
        <w:t>PURPOSE</w:t>
      </w:r>
      <w:r w:rsidRPr="009C21D6">
        <w:rPr>
          <w:rFonts w:asciiTheme="majorHAnsi" w:hAnsiTheme="majorHAnsi"/>
          <w:color w:val="244061"/>
          <w:sz w:val="22"/>
          <w:szCs w:val="22"/>
        </w:rPr>
        <w:t>:</w:t>
      </w:r>
    </w:p>
    <w:p w14:paraId="04A8041E" w14:textId="77777777" w:rsidR="00CF72B8" w:rsidRPr="009C21D6" w:rsidRDefault="00CF72B8">
      <w:pPr>
        <w:pStyle w:val="BodyText"/>
        <w:spacing w:before="6"/>
        <w:rPr>
          <w:rFonts w:asciiTheme="majorHAnsi" w:hAnsiTheme="majorHAnsi"/>
          <w:b/>
          <w:sz w:val="22"/>
          <w:szCs w:val="22"/>
        </w:rPr>
      </w:pPr>
    </w:p>
    <w:p w14:paraId="3CB2B8CF" w14:textId="77777777" w:rsidR="00CF72B8" w:rsidRPr="009C21D6" w:rsidRDefault="0005400B">
      <w:pPr>
        <w:pStyle w:val="BodyText"/>
        <w:spacing w:line="252" w:lineRule="auto"/>
        <w:ind w:left="115" w:right="221"/>
        <w:jc w:val="both"/>
        <w:rPr>
          <w:rFonts w:asciiTheme="majorHAnsi" w:hAnsiTheme="majorHAnsi"/>
          <w:sz w:val="22"/>
          <w:szCs w:val="22"/>
        </w:rPr>
      </w:pPr>
      <w:r w:rsidRPr="009C21D6">
        <w:rPr>
          <w:rFonts w:asciiTheme="majorHAnsi" w:hAnsiTheme="majorHAnsi"/>
          <w:w w:val="105"/>
          <w:sz w:val="22"/>
          <w:szCs w:val="22"/>
        </w:rPr>
        <w:t>Levels of remuneration to Directors are determined such that they attract, motivate and retain Directors of</w:t>
      </w:r>
      <w:r w:rsidRPr="009C21D6">
        <w:rPr>
          <w:rFonts w:asciiTheme="majorHAnsi" w:hAnsiTheme="majorHAnsi"/>
          <w:spacing w:val="1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quality and ability to run the company successfully. With changes in the Corporate Governance norms, the role</w:t>
      </w:r>
      <w:r w:rsidRPr="009C21D6">
        <w:rPr>
          <w:rFonts w:asciiTheme="majorHAnsi" w:hAnsiTheme="majorHAnsi"/>
          <w:spacing w:val="-41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of Non-Executive Directors (NED) and the degree and quality of their engagement with the Board and the</w:t>
      </w:r>
      <w:r w:rsidRPr="009C21D6">
        <w:rPr>
          <w:rFonts w:asciiTheme="majorHAnsi" w:hAnsiTheme="majorHAnsi"/>
          <w:spacing w:val="1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Company has undergone significant changes over a period of time. This is also accentuated by the Companies</w:t>
      </w:r>
      <w:r w:rsidRPr="009C21D6">
        <w:rPr>
          <w:rFonts w:asciiTheme="majorHAnsi" w:hAnsiTheme="majorHAnsi"/>
          <w:spacing w:val="1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Act, 2013 and SEBI (Listing Obligation and Disclosu</w:t>
      </w:r>
      <w:bookmarkStart w:id="0" w:name="_GoBack"/>
      <w:bookmarkEnd w:id="0"/>
      <w:r w:rsidRPr="009C21D6">
        <w:rPr>
          <w:rFonts w:asciiTheme="majorHAnsi" w:hAnsiTheme="majorHAnsi"/>
          <w:w w:val="105"/>
          <w:sz w:val="22"/>
          <w:szCs w:val="22"/>
        </w:rPr>
        <w:t>re Requirement) Regulations, 2015. Further, in order to be</w:t>
      </w:r>
      <w:r w:rsidRPr="009C21D6">
        <w:rPr>
          <w:rFonts w:asciiTheme="majorHAnsi" w:hAnsiTheme="majorHAnsi"/>
          <w:spacing w:val="1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consistent with globally accepted governance practices, the Company has ushered in flexibility in respect of</w:t>
      </w:r>
      <w:r w:rsidRPr="009C21D6">
        <w:rPr>
          <w:rFonts w:asciiTheme="majorHAnsi" w:hAnsiTheme="majorHAnsi"/>
          <w:spacing w:val="1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payment of remuneration to NEDs. It has linked the remuneration paid to NEDs to their attendance at the</w:t>
      </w:r>
      <w:r w:rsidRPr="009C21D6">
        <w:rPr>
          <w:rFonts w:asciiTheme="majorHAnsi" w:hAnsiTheme="majorHAnsi"/>
          <w:spacing w:val="1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meetings</w:t>
      </w:r>
      <w:r w:rsidRPr="009C21D6">
        <w:rPr>
          <w:rFonts w:asciiTheme="majorHAnsi" w:hAnsiTheme="majorHAnsi"/>
          <w:spacing w:val="1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of</w:t>
      </w:r>
      <w:r w:rsidRPr="009C21D6">
        <w:rPr>
          <w:rFonts w:asciiTheme="majorHAnsi" w:hAnsiTheme="majorHAnsi"/>
          <w:spacing w:val="1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the Board</w:t>
      </w:r>
      <w:r w:rsidRPr="009C21D6">
        <w:rPr>
          <w:rFonts w:asciiTheme="majorHAnsi" w:hAnsiTheme="majorHAnsi"/>
          <w:spacing w:val="1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or</w:t>
      </w:r>
      <w:r w:rsidRPr="009C21D6">
        <w:rPr>
          <w:rFonts w:asciiTheme="majorHAnsi" w:hAnsiTheme="majorHAnsi"/>
          <w:spacing w:val="1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Committees</w:t>
      </w:r>
      <w:r w:rsidRPr="009C21D6">
        <w:rPr>
          <w:rFonts w:asciiTheme="majorHAnsi" w:hAnsiTheme="majorHAnsi"/>
          <w:spacing w:val="1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thereof.</w:t>
      </w:r>
    </w:p>
    <w:p w14:paraId="2F68A2BC" w14:textId="77777777" w:rsidR="00CF72B8" w:rsidRPr="009C21D6" w:rsidRDefault="00CF72B8">
      <w:pPr>
        <w:pStyle w:val="BodyText"/>
        <w:spacing w:before="9"/>
        <w:rPr>
          <w:rFonts w:asciiTheme="majorHAnsi" w:hAnsiTheme="majorHAnsi"/>
          <w:sz w:val="22"/>
          <w:szCs w:val="22"/>
        </w:rPr>
      </w:pPr>
    </w:p>
    <w:p w14:paraId="5C37CF5A" w14:textId="77777777" w:rsidR="00CF72B8" w:rsidRPr="009C21D6" w:rsidRDefault="0005400B">
      <w:pPr>
        <w:pStyle w:val="Heading1"/>
        <w:rPr>
          <w:rFonts w:asciiTheme="majorHAnsi" w:hAnsiTheme="majorHAnsi"/>
          <w:sz w:val="22"/>
          <w:szCs w:val="22"/>
        </w:rPr>
      </w:pPr>
      <w:r w:rsidRPr="009C21D6">
        <w:rPr>
          <w:rFonts w:asciiTheme="majorHAnsi" w:hAnsiTheme="majorHAnsi"/>
          <w:sz w:val="22"/>
          <w:szCs w:val="22"/>
        </w:rPr>
        <w:t>SITTING</w:t>
      </w:r>
      <w:r w:rsidRPr="009C21D6">
        <w:rPr>
          <w:rFonts w:asciiTheme="majorHAnsi" w:hAnsiTheme="majorHAnsi"/>
          <w:color w:val="244061"/>
          <w:spacing w:val="-8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FEE</w:t>
      </w:r>
      <w:r w:rsidRPr="009C21D6">
        <w:rPr>
          <w:rFonts w:asciiTheme="majorHAnsi" w:hAnsiTheme="majorHAnsi"/>
          <w:color w:val="244061"/>
          <w:sz w:val="22"/>
          <w:szCs w:val="22"/>
        </w:rPr>
        <w:t>:</w:t>
      </w:r>
    </w:p>
    <w:p w14:paraId="641A8D5B" w14:textId="77777777" w:rsidR="00CF72B8" w:rsidRPr="009C21D6" w:rsidRDefault="00CF72B8">
      <w:pPr>
        <w:pStyle w:val="BodyText"/>
        <w:spacing w:before="12"/>
        <w:rPr>
          <w:rFonts w:asciiTheme="majorHAnsi" w:hAnsiTheme="majorHAnsi"/>
          <w:b/>
          <w:sz w:val="22"/>
          <w:szCs w:val="22"/>
        </w:rPr>
      </w:pPr>
    </w:p>
    <w:p w14:paraId="69ADB7D8" w14:textId="77777777" w:rsidR="00CF72B8" w:rsidRPr="009C21D6" w:rsidRDefault="0005400B">
      <w:pPr>
        <w:pStyle w:val="BodyText"/>
        <w:spacing w:before="1" w:line="252" w:lineRule="auto"/>
        <w:ind w:left="115" w:right="220"/>
        <w:jc w:val="both"/>
        <w:rPr>
          <w:rFonts w:asciiTheme="majorHAnsi" w:hAnsiTheme="majorHAnsi"/>
          <w:sz w:val="22"/>
          <w:szCs w:val="22"/>
        </w:rPr>
      </w:pPr>
      <w:r w:rsidRPr="009C21D6">
        <w:rPr>
          <w:rFonts w:asciiTheme="majorHAnsi" w:hAnsiTheme="majorHAnsi"/>
          <w:sz w:val="22"/>
          <w:szCs w:val="22"/>
        </w:rPr>
        <w:t>Such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Director(s)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shall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receive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remuneration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by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way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of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Sitting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fee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for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attending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meetings</w:t>
      </w:r>
      <w:r w:rsidRPr="009C21D6">
        <w:rPr>
          <w:rFonts w:asciiTheme="majorHAnsi" w:hAnsiTheme="majorHAnsi"/>
          <w:spacing w:val="4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of</w:t>
      </w:r>
      <w:r w:rsidRPr="009C21D6">
        <w:rPr>
          <w:rFonts w:asciiTheme="majorHAnsi" w:hAnsiTheme="majorHAnsi"/>
          <w:spacing w:val="42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the</w:t>
      </w:r>
      <w:r w:rsidRPr="009C21D6">
        <w:rPr>
          <w:rFonts w:asciiTheme="majorHAnsi" w:hAnsiTheme="majorHAnsi"/>
          <w:spacing w:val="42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Board</w:t>
      </w:r>
      <w:r w:rsidRPr="009C21D6">
        <w:rPr>
          <w:rFonts w:asciiTheme="majorHAnsi" w:hAnsiTheme="majorHAnsi"/>
          <w:spacing w:val="42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or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Committee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thereof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or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any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other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meeting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as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required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by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Companies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Act,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2013,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SEBI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(Listing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Obligation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and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Disclosure</w:t>
      </w:r>
      <w:r w:rsidRPr="009C21D6">
        <w:rPr>
          <w:rFonts w:asciiTheme="majorHAnsi" w:hAnsiTheme="majorHAnsi"/>
          <w:spacing w:val="20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Requirement)</w:t>
      </w:r>
      <w:r w:rsidRPr="009C21D6">
        <w:rPr>
          <w:rFonts w:asciiTheme="majorHAnsi" w:hAnsiTheme="majorHAnsi"/>
          <w:spacing w:val="20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Regulations,</w:t>
      </w:r>
      <w:r w:rsidRPr="009C21D6">
        <w:rPr>
          <w:rFonts w:asciiTheme="majorHAnsi" w:hAnsiTheme="majorHAnsi"/>
          <w:spacing w:val="19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2015</w:t>
      </w:r>
      <w:r w:rsidRPr="009C21D6">
        <w:rPr>
          <w:rFonts w:asciiTheme="majorHAnsi" w:hAnsiTheme="majorHAnsi"/>
          <w:spacing w:val="20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or</w:t>
      </w:r>
      <w:r w:rsidRPr="009C21D6">
        <w:rPr>
          <w:rFonts w:asciiTheme="majorHAnsi" w:hAnsiTheme="majorHAnsi"/>
          <w:spacing w:val="20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other</w:t>
      </w:r>
      <w:r w:rsidRPr="009C21D6">
        <w:rPr>
          <w:rFonts w:asciiTheme="majorHAnsi" w:hAnsiTheme="majorHAnsi"/>
          <w:spacing w:val="18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applicable</w:t>
      </w:r>
      <w:r w:rsidRPr="009C21D6">
        <w:rPr>
          <w:rFonts w:asciiTheme="majorHAnsi" w:hAnsiTheme="majorHAnsi"/>
          <w:spacing w:val="18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law</w:t>
      </w:r>
      <w:r w:rsidRPr="009C21D6">
        <w:rPr>
          <w:rFonts w:asciiTheme="majorHAnsi" w:hAnsiTheme="majorHAnsi"/>
          <w:spacing w:val="20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or</w:t>
      </w:r>
      <w:r w:rsidRPr="009C21D6">
        <w:rPr>
          <w:rFonts w:asciiTheme="majorHAnsi" w:hAnsiTheme="majorHAnsi"/>
          <w:spacing w:val="20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for</w:t>
      </w:r>
      <w:r w:rsidRPr="009C21D6">
        <w:rPr>
          <w:rFonts w:asciiTheme="majorHAnsi" w:hAnsiTheme="majorHAnsi"/>
          <w:spacing w:val="19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any</w:t>
      </w:r>
      <w:r w:rsidRPr="009C21D6">
        <w:rPr>
          <w:rFonts w:asciiTheme="majorHAnsi" w:hAnsiTheme="majorHAnsi"/>
          <w:spacing w:val="19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other</w:t>
      </w:r>
      <w:r w:rsidRPr="009C21D6">
        <w:rPr>
          <w:rFonts w:asciiTheme="majorHAnsi" w:hAnsiTheme="majorHAnsi"/>
          <w:spacing w:val="19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purpose</w:t>
      </w:r>
      <w:r w:rsidRPr="009C21D6">
        <w:rPr>
          <w:rFonts w:asciiTheme="majorHAnsi" w:hAnsiTheme="majorHAnsi"/>
          <w:spacing w:val="20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whatsoever</w:t>
      </w:r>
      <w:r w:rsidRPr="009C21D6">
        <w:rPr>
          <w:rFonts w:asciiTheme="majorHAnsi" w:hAnsiTheme="majorHAnsi"/>
          <w:spacing w:val="18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as</w:t>
      </w:r>
      <w:r w:rsidRPr="009C21D6">
        <w:rPr>
          <w:rFonts w:asciiTheme="majorHAnsi" w:hAnsiTheme="majorHAnsi"/>
          <w:spacing w:val="19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may</w:t>
      </w:r>
      <w:r w:rsidRPr="009C21D6">
        <w:rPr>
          <w:rFonts w:asciiTheme="majorHAnsi" w:hAnsiTheme="majorHAnsi"/>
          <w:spacing w:val="-40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be</w:t>
      </w:r>
      <w:r w:rsidRPr="009C21D6">
        <w:rPr>
          <w:rFonts w:asciiTheme="majorHAnsi" w:hAnsiTheme="majorHAnsi"/>
          <w:spacing w:val="4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decided</w:t>
      </w:r>
      <w:r w:rsidRPr="009C21D6">
        <w:rPr>
          <w:rFonts w:asciiTheme="majorHAnsi" w:hAnsiTheme="majorHAnsi"/>
          <w:spacing w:val="5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by</w:t>
      </w:r>
      <w:r w:rsidRPr="009C21D6">
        <w:rPr>
          <w:rFonts w:asciiTheme="majorHAnsi" w:hAnsiTheme="majorHAnsi"/>
          <w:spacing w:val="5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the</w:t>
      </w:r>
      <w:r w:rsidRPr="009C21D6">
        <w:rPr>
          <w:rFonts w:asciiTheme="majorHAnsi" w:hAnsiTheme="majorHAnsi"/>
          <w:spacing w:val="4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Board.</w:t>
      </w:r>
    </w:p>
    <w:p w14:paraId="4872C6DD" w14:textId="77777777" w:rsidR="00CF72B8" w:rsidRPr="009C21D6" w:rsidRDefault="00CF72B8">
      <w:pPr>
        <w:pStyle w:val="BodyText"/>
        <w:spacing w:before="2"/>
        <w:rPr>
          <w:rFonts w:asciiTheme="majorHAnsi" w:hAnsiTheme="majorHAnsi"/>
          <w:sz w:val="22"/>
          <w:szCs w:val="22"/>
        </w:rPr>
      </w:pPr>
    </w:p>
    <w:p w14:paraId="7643ED9D" w14:textId="77777777" w:rsidR="00CF72B8" w:rsidRPr="009C21D6" w:rsidRDefault="0005400B" w:rsidP="0005400B">
      <w:pPr>
        <w:pStyle w:val="Heading1"/>
        <w:rPr>
          <w:rFonts w:asciiTheme="majorHAnsi" w:hAnsiTheme="majorHAnsi"/>
          <w:sz w:val="22"/>
          <w:szCs w:val="22"/>
        </w:rPr>
      </w:pPr>
      <w:r w:rsidRPr="009C21D6">
        <w:rPr>
          <w:rFonts w:asciiTheme="majorHAnsi" w:hAnsiTheme="majorHAnsi"/>
          <w:sz w:val="22"/>
          <w:szCs w:val="22"/>
        </w:rPr>
        <w:t>COMMISSION</w:t>
      </w:r>
      <w:r w:rsidRPr="009C21D6">
        <w:rPr>
          <w:rFonts w:asciiTheme="majorHAnsi" w:hAnsiTheme="majorHAnsi"/>
          <w:color w:val="244061"/>
          <w:sz w:val="22"/>
          <w:szCs w:val="22"/>
        </w:rPr>
        <w:t>:</w:t>
      </w:r>
    </w:p>
    <w:p w14:paraId="26FF9E5E" w14:textId="77777777" w:rsidR="00CF72B8" w:rsidRPr="009C21D6" w:rsidRDefault="00CF72B8">
      <w:pPr>
        <w:pStyle w:val="BodyText"/>
        <w:spacing w:before="12"/>
        <w:rPr>
          <w:rFonts w:asciiTheme="majorHAnsi" w:hAnsiTheme="majorHAnsi"/>
          <w:b/>
          <w:sz w:val="22"/>
          <w:szCs w:val="22"/>
        </w:rPr>
      </w:pPr>
    </w:p>
    <w:p w14:paraId="376B3937" w14:textId="77777777" w:rsidR="00CF72B8" w:rsidRPr="009C21D6" w:rsidRDefault="0005400B">
      <w:pPr>
        <w:pStyle w:val="BodyText"/>
        <w:spacing w:line="252" w:lineRule="auto"/>
        <w:ind w:left="115" w:right="222"/>
        <w:jc w:val="both"/>
        <w:rPr>
          <w:rFonts w:asciiTheme="majorHAnsi" w:hAnsiTheme="majorHAnsi"/>
          <w:sz w:val="22"/>
          <w:szCs w:val="22"/>
        </w:rPr>
      </w:pPr>
      <w:r w:rsidRPr="009C21D6">
        <w:rPr>
          <w:rFonts w:asciiTheme="majorHAnsi" w:hAnsiTheme="majorHAnsi"/>
          <w:w w:val="105"/>
          <w:sz w:val="22"/>
          <w:szCs w:val="22"/>
        </w:rPr>
        <w:t>Section 197 of the Companies Act, 2013, allows a Company to pay remuneration to its NEDs either by way of a</w:t>
      </w:r>
      <w:r w:rsidRPr="009C21D6">
        <w:rPr>
          <w:rFonts w:asciiTheme="majorHAnsi" w:hAnsiTheme="majorHAnsi"/>
          <w:spacing w:val="1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monthly</w:t>
      </w:r>
      <w:r w:rsidRPr="009C21D6">
        <w:rPr>
          <w:rFonts w:asciiTheme="majorHAnsi" w:hAnsiTheme="majorHAnsi"/>
          <w:spacing w:val="-5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payment</w:t>
      </w:r>
      <w:r w:rsidRPr="009C21D6">
        <w:rPr>
          <w:rFonts w:asciiTheme="majorHAnsi" w:hAnsiTheme="majorHAnsi"/>
          <w:spacing w:val="-4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or</w:t>
      </w:r>
      <w:r w:rsidRPr="009C21D6">
        <w:rPr>
          <w:rFonts w:asciiTheme="majorHAnsi" w:hAnsiTheme="majorHAnsi"/>
          <w:spacing w:val="-4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at</w:t>
      </w:r>
      <w:r w:rsidRPr="009C21D6">
        <w:rPr>
          <w:rFonts w:asciiTheme="majorHAnsi" w:hAnsiTheme="majorHAnsi"/>
          <w:spacing w:val="-6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a</w:t>
      </w:r>
      <w:r w:rsidRPr="009C21D6">
        <w:rPr>
          <w:rFonts w:asciiTheme="majorHAnsi" w:hAnsiTheme="majorHAnsi"/>
          <w:spacing w:val="-4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specified</w:t>
      </w:r>
      <w:r w:rsidRPr="009C21D6">
        <w:rPr>
          <w:rFonts w:asciiTheme="majorHAnsi" w:hAnsiTheme="majorHAnsi"/>
          <w:spacing w:val="-4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percentage</w:t>
      </w:r>
      <w:r w:rsidRPr="009C21D6">
        <w:rPr>
          <w:rFonts w:asciiTheme="majorHAnsi" w:hAnsiTheme="majorHAnsi"/>
          <w:spacing w:val="-5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of</w:t>
      </w:r>
      <w:r w:rsidRPr="009C21D6">
        <w:rPr>
          <w:rFonts w:asciiTheme="majorHAnsi" w:hAnsiTheme="majorHAnsi"/>
          <w:spacing w:val="-5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the</w:t>
      </w:r>
      <w:r w:rsidRPr="009C21D6">
        <w:rPr>
          <w:rFonts w:asciiTheme="majorHAnsi" w:hAnsiTheme="majorHAnsi"/>
          <w:spacing w:val="-4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net</w:t>
      </w:r>
      <w:r w:rsidRPr="009C21D6">
        <w:rPr>
          <w:rFonts w:asciiTheme="majorHAnsi" w:hAnsiTheme="majorHAnsi"/>
          <w:spacing w:val="-5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profits</w:t>
      </w:r>
      <w:r w:rsidRPr="009C21D6">
        <w:rPr>
          <w:rFonts w:asciiTheme="majorHAnsi" w:hAnsiTheme="majorHAnsi"/>
          <w:spacing w:val="-4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of</w:t>
      </w:r>
      <w:r w:rsidRPr="009C21D6">
        <w:rPr>
          <w:rFonts w:asciiTheme="majorHAnsi" w:hAnsiTheme="majorHAnsi"/>
          <w:spacing w:val="-4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the</w:t>
      </w:r>
      <w:r w:rsidRPr="009C21D6">
        <w:rPr>
          <w:rFonts w:asciiTheme="majorHAnsi" w:hAnsiTheme="majorHAnsi"/>
          <w:spacing w:val="-4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Company</w:t>
      </w:r>
      <w:r w:rsidRPr="009C21D6">
        <w:rPr>
          <w:rFonts w:asciiTheme="majorHAnsi" w:hAnsiTheme="majorHAnsi"/>
          <w:spacing w:val="-5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or</w:t>
      </w:r>
      <w:r w:rsidRPr="009C21D6">
        <w:rPr>
          <w:rFonts w:asciiTheme="majorHAnsi" w:hAnsiTheme="majorHAnsi"/>
          <w:spacing w:val="-5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partly</w:t>
      </w:r>
      <w:r w:rsidRPr="009C21D6">
        <w:rPr>
          <w:rFonts w:asciiTheme="majorHAnsi" w:hAnsiTheme="majorHAnsi"/>
          <w:spacing w:val="-5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by</w:t>
      </w:r>
      <w:r w:rsidRPr="009C21D6">
        <w:rPr>
          <w:rFonts w:asciiTheme="majorHAnsi" w:hAnsiTheme="majorHAnsi"/>
          <w:spacing w:val="-4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one</w:t>
      </w:r>
      <w:r w:rsidRPr="009C21D6">
        <w:rPr>
          <w:rFonts w:asciiTheme="majorHAnsi" w:hAnsiTheme="majorHAnsi"/>
          <w:spacing w:val="-5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way</w:t>
      </w:r>
      <w:r w:rsidRPr="009C21D6">
        <w:rPr>
          <w:rFonts w:asciiTheme="majorHAnsi" w:hAnsiTheme="majorHAnsi"/>
          <w:spacing w:val="-5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and</w:t>
      </w:r>
      <w:r w:rsidRPr="009C21D6">
        <w:rPr>
          <w:rFonts w:asciiTheme="majorHAnsi" w:hAnsiTheme="majorHAnsi"/>
          <w:spacing w:val="-4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partly</w:t>
      </w:r>
      <w:r w:rsidRPr="009C21D6">
        <w:rPr>
          <w:rFonts w:asciiTheme="majorHAnsi" w:hAnsiTheme="majorHAnsi"/>
          <w:spacing w:val="1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by the other Additional Commission, apart from commission referred to above, may be paid to Non-Executive</w:t>
      </w:r>
      <w:r w:rsidRPr="009C21D6">
        <w:rPr>
          <w:rFonts w:asciiTheme="majorHAnsi" w:hAnsiTheme="majorHAnsi"/>
          <w:spacing w:val="1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Directors as may be decided by the Board of Directors of the Company from time to time, depending on the</w:t>
      </w:r>
      <w:r w:rsidRPr="009C21D6">
        <w:rPr>
          <w:rFonts w:asciiTheme="majorHAnsi" w:hAnsiTheme="majorHAnsi"/>
          <w:spacing w:val="1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extra</w:t>
      </w:r>
      <w:r w:rsidRPr="009C21D6">
        <w:rPr>
          <w:rFonts w:asciiTheme="majorHAnsi" w:hAnsiTheme="majorHAnsi"/>
          <w:spacing w:val="-7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time</w:t>
      </w:r>
      <w:r w:rsidRPr="009C21D6">
        <w:rPr>
          <w:rFonts w:asciiTheme="majorHAnsi" w:hAnsiTheme="majorHAnsi"/>
          <w:spacing w:val="-6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and</w:t>
      </w:r>
      <w:r w:rsidRPr="009C21D6">
        <w:rPr>
          <w:rFonts w:asciiTheme="majorHAnsi" w:hAnsiTheme="majorHAnsi"/>
          <w:spacing w:val="-7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efforts</w:t>
      </w:r>
      <w:r w:rsidRPr="009C21D6">
        <w:rPr>
          <w:rFonts w:asciiTheme="majorHAnsi" w:hAnsiTheme="majorHAnsi"/>
          <w:spacing w:val="-5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as</w:t>
      </w:r>
      <w:r w:rsidRPr="009C21D6">
        <w:rPr>
          <w:rFonts w:asciiTheme="majorHAnsi" w:hAnsiTheme="majorHAnsi"/>
          <w:spacing w:val="-6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may</w:t>
      </w:r>
      <w:r w:rsidRPr="009C21D6">
        <w:rPr>
          <w:rFonts w:asciiTheme="majorHAnsi" w:hAnsiTheme="majorHAnsi"/>
          <w:spacing w:val="-7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be</w:t>
      </w:r>
      <w:r w:rsidRPr="009C21D6">
        <w:rPr>
          <w:rFonts w:asciiTheme="majorHAnsi" w:hAnsiTheme="majorHAnsi"/>
          <w:spacing w:val="-5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devoted</w:t>
      </w:r>
      <w:r w:rsidRPr="009C21D6">
        <w:rPr>
          <w:rFonts w:asciiTheme="majorHAnsi" w:hAnsiTheme="majorHAnsi"/>
          <w:spacing w:val="-5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and</w:t>
      </w:r>
      <w:r w:rsidRPr="009C21D6">
        <w:rPr>
          <w:rFonts w:asciiTheme="majorHAnsi" w:hAnsiTheme="majorHAnsi"/>
          <w:spacing w:val="-5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contribution</w:t>
      </w:r>
      <w:r w:rsidRPr="009C21D6">
        <w:rPr>
          <w:rFonts w:asciiTheme="majorHAnsi" w:hAnsiTheme="majorHAnsi"/>
          <w:spacing w:val="-6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as</w:t>
      </w:r>
      <w:r w:rsidRPr="009C21D6">
        <w:rPr>
          <w:rFonts w:asciiTheme="majorHAnsi" w:hAnsiTheme="majorHAnsi"/>
          <w:spacing w:val="-4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may</w:t>
      </w:r>
      <w:r w:rsidRPr="009C21D6">
        <w:rPr>
          <w:rFonts w:asciiTheme="majorHAnsi" w:hAnsiTheme="majorHAnsi"/>
          <w:spacing w:val="-7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be</w:t>
      </w:r>
      <w:r w:rsidRPr="009C21D6">
        <w:rPr>
          <w:rFonts w:asciiTheme="majorHAnsi" w:hAnsiTheme="majorHAnsi"/>
          <w:spacing w:val="-6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made</w:t>
      </w:r>
      <w:r w:rsidRPr="009C21D6">
        <w:rPr>
          <w:rFonts w:asciiTheme="majorHAnsi" w:hAnsiTheme="majorHAnsi"/>
          <w:spacing w:val="-6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by</w:t>
      </w:r>
      <w:r w:rsidRPr="009C21D6">
        <w:rPr>
          <w:rFonts w:asciiTheme="majorHAnsi" w:hAnsiTheme="majorHAnsi"/>
          <w:spacing w:val="-7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the</w:t>
      </w:r>
      <w:r w:rsidRPr="009C21D6">
        <w:rPr>
          <w:rFonts w:asciiTheme="majorHAnsi" w:hAnsiTheme="majorHAnsi"/>
          <w:spacing w:val="-5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Non-</w:t>
      </w:r>
      <w:r w:rsidRPr="009C21D6">
        <w:rPr>
          <w:rFonts w:asciiTheme="majorHAnsi" w:hAnsiTheme="majorHAnsi"/>
          <w:spacing w:val="-6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Executive</w:t>
      </w:r>
      <w:r w:rsidRPr="009C21D6">
        <w:rPr>
          <w:rFonts w:asciiTheme="majorHAnsi" w:hAnsiTheme="majorHAnsi"/>
          <w:spacing w:val="-6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Directors.</w:t>
      </w:r>
    </w:p>
    <w:p w14:paraId="277ECE3F" w14:textId="77777777" w:rsidR="00CF72B8" w:rsidRPr="009C21D6" w:rsidRDefault="00CF72B8">
      <w:pPr>
        <w:pStyle w:val="BodyText"/>
        <w:spacing w:before="3"/>
        <w:rPr>
          <w:rFonts w:asciiTheme="majorHAnsi" w:hAnsiTheme="majorHAnsi"/>
          <w:sz w:val="22"/>
          <w:szCs w:val="22"/>
        </w:rPr>
      </w:pPr>
    </w:p>
    <w:p w14:paraId="46BB0381" w14:textId="77777777" w:rsidR="00CF72B8" w:rsidRPr="009C21D6" w:rsidRDefault="0005400B">
      <w:pPr>
        <w:pStyle w:val="Heading1"/>
        <w:ind w:left="161"/>
        <w:rPr>
          <w:rFonts w:asciiTheme="majorHAnsi" w:hAnsiTheme="majorHAnsi"/>
          <w:sz w:val="22"/>
          <w:szCs w:val="22"/>
        </w:rPr>
      </w:pPr>
      <w:r w:rsidRPr="009C21D6">
        <w:rPr>
          <w:rFonts w:asciiTheme="majorHAnsi" w:hAnsiTheme="majorHAnsi"/>
          <w:sz w:val="22"/>
          <w:szCs w:val="22"/>
        </w:rPr>
        <w:t>CRITERIA FOR MAKING PAYMENT TO NON- EXECUTIVE DIRECTORS</w:t>
      </w:r>
    </w:p>
    <w:p w14:paraId="0F8243AF" w14:textId="77777777" w:rsidR="00CF72B8" w:rsidRPr="009C21D6" w:rsidRDefault="00CF72B8">
      <w:pPr>
        <w:pStyle w:val="BodyText"/>
        <w:spacing w:before="9"/>
        <w:rPr>
          <w:rFonts w:asciiTheme="majorHAnsi" w:hAnsiTheme="majorHAnsi"/>
          <w:b/>
          <w:sz w:val="22"/>
          <w:szCs w:val="22"/>
        </w:rPr>
      </w:pPr>
    </w:p>
    <w:p w14:paraId="136B3F8F" w14:textId="77777777" w:rsidR="00CF72B8" w:rsidRPr="009C21D6" w:rsidRDefault="0005400B" w:rsidP="0005400B">
      <w:pPr>
        <w:pStyle w:val="Heading1"/>
        <w:ind w:left="161"/>
        <w:rPr>
          <w:rFonts w:asciiTheme="majorHAnsi" w:hAnsiTheme="majorHAnsi"/>
          <w:sz w:val="22"/>
          <w:szCs w:val="22"/>
        </w:rPr>
      </w:pPr>
      <w:r w:rsidRPr="009C21D6">
        <w:rPr>
          <w:rFonts w:asciiTheme="majorHAnsi" w:hAnsiTheme="majorHAnsi"/>
          <w:sz w:val="22"/>
          <w:szCs w:val="22"/>
        </w:rPr>
        <w:t>Reimbursement of actual expenses incurred:</w:t>
      </w:r>
    </w:p>
    <w:p w14:paraId="14720028" w14:textId="77777777" w:rsidR="00CF72B8" w:rsidRPr="009C21D6" w:rsidRDefault="00CF72B8">
      <w:pPr>
        <w:pStyle w:val="BodyText"/>
        <w:spacing w:before="3"/>
        <w:rPr>
          <w:rFonts w:asciiTheme="majorHAnsi" w:hAnsiTheme="majorHAnsi"/>
          <w:b/>
          <w:sz w:val="22"/>
          <w:szCs w:val="22"/>
        </w:rPr>
      </w:pPr>
    </w:p>
    <w:p w14:paraId="747CC2A3" w14:textId="77777777" w:rsidR="00CF72B8" w:rsidRPr="009C21D6" w:rsidRDefault="0005400B">
      <w:pPr>
        <w:pStyle w:val="BodyText"/>
        <w:spacing w:before="1" w:line="252" w:lineRule="auto"/>
        <w:ind w:left="115" w:right="221"/>
        <w:jc w:val="both"/>
        <w:rPr>
          <w:rFonts w:asciiTheme="majorHAnsi" w:hAnsiTheme="majorHAnsi"/>
          <w:sz w:val="22"/>
          <w:szCs w:val="22"/>
        </w:rPr>
      </w:pPr>
      <w:r w:rsidRPr="009C21D6">
        <w:rPr>
          <w:rFonts w:asciiTheme="majorHAnsi" w:hAnsiTheme="majorHAnsi"/>
          <w:w w:val="105"/>
          <w:sz w:val="22"/>
          <w:szCs w:val="22"/>
        </w:rPr>
        <w:t>NEDs may also be paid / reimbursed such sums either as fixed allowance and /or actuals for travel, incidental</w:t>
      </w:r>
      <w:r w:rsidRPr="009C21D6">
        <w:rPr>
          <w:rFonts w:asciiTheme="majorHAnsi" w:hAnsiTheme="majorHAnsi"/>
          <w:spacing w:val="1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and / or actual out of pocket expenses incurred by such Director / Member for attending Board / Committee</w:t>
      </w:r>
      <w:r w:rsidRPr="009C21D6">
        <w:rPr>
          <w:rFonts w:asciiTheme="majorHAnsi" w:hAnsiTheme="majorHAnsi"/>
          <w:spacing w:val="1"/>
          <w:w w:val="105"/>
          <w:sz w:val="22"/>
          <w:szCs w:val="22"/>
        </w:rPr>
        <w:t xml:space="preserve"> </w:t>
      </w:r>
      <w:r w:rsidRPr="009C21D6">
        <w:rPr>
          <w:rFonts w:asciiTheme="majorHAnsi" w:hAnsiTheme="majorHAnsi"/>
          <w:w w:val="105"/>
          <w:sz w:val="22"/>
          <w:szCs w:val="22"/>
        </w:rPr>
        <w:t>Meetings.</w:t>
      </w:r>
    </w:p>
    <w:p w14:paraId="7143EBAF" w14:textId="77777777" w:rsidR="00CF72B8" w:rsidRPr="009C21D6" w:rsidRDefault="00CF72B8">
      <w:pPr>
        <w:pStyle w:val="BodyText"/>
        <w:spacing w:before="11"/>
        <w:rPr>
          <w:rFonts w:asciiTheme="majorHAnsi" w:hAnsiTheme="majorHAnsi"/>
          <w:sz w:val="22"/>
          <w:szCs w:val="22"/>
        </w:rPr>
      </w:pPr>
    </w:p>
    <w:p w14:paraId="55B59E2C" w14:textId="77777777" w:rsidR="00CF72B8" w:rsidRPr="009C21D6" w:rsidRDefault="0005400B" w:rsidP="0005400B">
      <w:pPr>
        <w:pStyle w:val="Heading1"/>
        <w:ind w:left="161"/>
        <w:rPr>
          <w:rFonts w:asciiTheme="majorHAnsi" w:hAnsiTheme="majorHAnsi"/>
          <w:sz w:val="22"/>
          <w:szCs w:val="22"/>
        </w:rPr>
      </w:pPr>
      <w:r w:rsidRPr="009C21D6">
        <w:rPr>
          <w:rFonts w:asciiTheme="majorHAnsi" w:hAnsiTheme="majorHAnsi"/>
          <w:sz w:val="22"/>
          <w:szCs w:val="22"/>
        </w:rPr>
        <w:t>Payment to Independent Directors:</w:t>
      </w:r>
    </w:p>
    <w:p w14:paraId="3381D2BB" w14:textId="77777777" w:rsidR="00CF72B8" w:rsidRPr="009C21D6" w:rsidRDefault="00CF72B8">
      <w:pPr>
        <w:pStyle w:val="BodyText"/>
        <w:spacing w:before="12"/>
        <w:rPr>
          <w:rFonts w:asciiTheme="majorHAnsi" w:hAnsiTheme="majorHAnsi"/>
          <w:b/>
          <w:sz w:val="22"/>
          <w:szCs w:val="22"/>
        </w:rPr>
      </w:pPr>
    </w:p>
    <w:p w14:paraId="167E141F" w14:textId="77777777" w:rsidR="00CF72B8" w:rsidRPr="009C21D6" w:rsidRDefault="0005400B">
      <w:pPr>
        <w:pStyle w:val="BodyText"/>
        <w:spacing w:line="252" w:lineRule="auto"/>
        <w:ind w:left="115" w:right="221"/>
        <w:jc w:val="both"/>
        <w:rPr>
          <w:rFonts w:asciiTheme="majorHAnsi" w:hAnsiTheme="majorHAnsi"/>
          <w:sz w:val="22"/>
          <w:szCs w:val="22"/>
        </w:rPr>
      </w:pPr>
      <w:r w:rsidRPr="009C21D6">
        <w:rPr>
          <w:rFonts w:asciiTheme="majorHAnsi" w:hAnsiTheme="majorHAnsi"/>
          <w:sz w:val="22"/>
          <w:szCs w:val="22"/>
        </w:rPr>
        <w:t>An Independent Director may receive remuneration only by way of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sitting fees and reimbursement of expenses for participation in meetings of the Board or committee thereof and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profit related commission up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to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a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certain percentage of net profits</w:t>
      </w:r>
      <w:r w:rsidRPr="009C21D6">
        <w:rPr>
          <w:rFonts w:asciiTheme="majorHAnsi" w:hAnsiTheme="majorHAnsi"/>
          <w:spacing w:val="4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in</w:t>
      </w:r>
      <w:r w:rsidRPr="009C21D6">
        <w:rPr>
          <w:rFonts w:asciiTheme="majorHAnsi" w:hAnsiTheme="majorHAnsi"/>
          <w:spacing w:val="42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such proportion, as</w:t>
      </w:r>
      <w:r w:rsidRPr="009C21D6">
        <w:rPr>
          <w:rFonts w:asciiTheme="majorHAnsi" w:hAnsiTheme="majorHAnsi"/>
          <w:spacing w:val="42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may be</w:t>
      </w:r>
      <w:r w:rsidRPr="009C21D6">
        <w:rPr>
          <w:rFonts w:asciiTheme="majorHAnsi" w:hAnsiTheme="majorHAnsi"/>
          <w:spacing w:val="42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permissible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under</w:t>
      </w:r>
      <w:r w:rsidRPr="009C21D6">
        <w:rPr>
          <w:rFonts w:asciiTheme="majorHAnsi" w:hAnsiTheme="majorHAnsi"/>
          <w:spacing w:val="4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the</w:t>
      </w:r>
      <w:r w:rsidRPr="009C21D6">
        <w:rPr>
          <w:rFonts w:asciiTheme="majorHAnsi" w:hAnsiTheme="majorHAnsi"/>
          <w:spacing w:val="4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applicable</w:t>
      </w:r>
      <w:r w:rsidRPr="009C21D6">
        <w:rPr>
          <w:rFonts w:asciiTheme="majorHAnsi" w:hAnsiTheme="majorHAnsi"/>
          <w:spacing w:val="4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law</w:t>
      </w:r>
      <w:r w:rsidRPr="009C21D6">
        <w:rPr>
          <w:rFonts w:asciiTheme="majorHAnsi" w:hAnsiTheme="majorHAnsi"/>
          <w:spacing w:val="4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at</w:t>
      </w:r>
      <w:r w:rsidRPr="009C21D6">
        <w:rPr>
          <w:rFonts w:asciiTheme="majorHAnsi" w:hAnsiTheme="majorHAnsi"/>
          <w:spacing w:val="4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the</w:t>
      </w:r>
      <w:r w:rsidRPr="009C21D6">
        <w:rPr>
          <w:rFonts w:asciiTheme="majorHAnsi" w:hAnsiTheme="majorHAnsi"/>
          <w:spacing w:val="4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discretion</w:t>
      </w:r>
      <w:r w:rsidRPr="009C21D6">
        <w:rPr>
          <w:rFonts w:asciiTheme="majorHAnsi" w:hAnsiTheme="majorHAnsi"/>
          <w:spacing w:val="5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of</w:t>
      </w:r>
      <w:r w:rsidRPr="009C21D6">
        <w:rPr>
          <w:rFonts w:asciiTheme="majorHAnsi" w:hAnsiTheme="majorHAnsi"/>
          <w:spacing w:val="4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the</w:t>
      </w:r>
      <w:r w:rsidRPr="009C21D6">
        <w:rPr>
          <w:rFonts w:asciiTheme="majorHAnsi" w:hAnsiTheme="majorHAnsi"/>
          <w:spacing w:val="5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Board.</w:t>
      </w:r>
    </w:p>
    <w:p w14:paraId="7DD6A7F9" w14:textId="77777777" w:rsidR="00CF72B8" w:rsidRPr="009C21D6" w:rsidRDefault="00CF72B8">
      <w:pPr>
        <w:pStyle w:val="BodyText"/>
        <w:rPr>
          <w:rFonts w:asciiTheme="majorHAnsi" w:hAnsiTheme="majorHAnsi"/>
          <w:sz w:val="22"/>
          <w:szCs w:val="22"/>
        </w:rPr>
      </w:pPr>
    </w:p>
    <w:p w14:paraId="2EF6FCEF" w14:textId="77777777" w:rsidR="00CF72B8" w:rsidRPr="0005400B" w:rsidRDefault="0005400B" w:rsidP="0005400B">
      <w:pPr>
        <w:pStyle w:val="BodyText"/>
        <w:spacing w:line="252" w:lineRule="auto"/>
        <w:ind w:left="115" w:right="224" w:firstLine="46"/>
        <w:jc w:val="both"/>
        <w:rPr>
          <w:rFonts w:asciiTheme="majorHAnsi" w:hAnsiTheme="majorHAnsi"/>
          <w:sz w:val="24"/>
          <w:szCs w:val="24"/>
        </w:rPr>
      </w:pPr>
      <w:r w:rsidRPr="009C21D6">
        <w:rPr>
          <w:rFonts w:asciiTheme="majorHAnsi" w:hAnsiTheme="majorHAnsi"/>
          <w:sz w:val="22"/>
          <w:szCs w:val="22"/>
        </w:rPr>
        <w:t>The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above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criteria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and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policy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are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subject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to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review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by</w:t>
      </w:r>
      <w:r w:rsidRPr="009C21D6">
        <w:rPr>
          <w:rFonts w:asciiTheme="majorHAnsi" w:hAnsiTheme="majorHAnsi"/>
          <w:spacing w:val="4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the</w:t>
      </w:r>
      <w:r w:rsidRPr="009C21D6">
        <w:rPr>
          <w:rFonts w:asciiTheme="majorHAnsi" w:hAnsiTheme="majorHAnsi"/>
          <w:spacing w:val="42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Nomination</w:t>
      </w:r>
      <w:r w:rsidRPr="009C21D6">
        <w:rPr>
          <w:rFonts w:asciiTheme="majorHAnsi" w:hAnsiTheme="majorHAnsi"/>
          <w:spacing w:val="42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&amp;</w:t>
      </w:r>
      <w:r w:rsidRPr="009C21D6">
        <w:rPr>
          <w:rFonts w:asciiTheme="majorHAnsi" w:hAnsiTheme="majorHAnsi"/>
          <w:spacing w:val="42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Remuneration</w:t>
      </w:r>
      <w:r w:rsidRPr="009C21D6">
        <w:rPr>
          <w:rFonts w:asciiTheme="majorHAnsi" w:hAnsiTheme="majorHAnsi"/>
          <w:spacing w:val="42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Committee</w:t>
      </w:r>
      <w:r w:rsidRPr="009C21D6">
        <w:rPr>
          <w:rFonts w:asciiTheme="majorHAnsi" w:hAnsiTheme="majorHAnsi"/>
          <w:spacing w:val="42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and</w:t>
      </w:r>
      <w:r w:rsidRPr="009C21D6">
        <w:rPr>
          <w:rFonts w:asciiTheme="majorHAnsi" w:hAnsiTheme="majorHAnsi"/>
          <w:spacing w:val="4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the</w:t>
      </w:r>
      <w:r w:rsidRPr="009C21D6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Board</w:t>
      </w:r>
      <w:r w:rsidRPr="009C21D6">
        <w:rPr>
          <w:rFonts w:asciiTheme="majorHAnsi" w:hAnsiTheme="majorHAnsi"/>
          <w:spacing w:val="5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of</w:t>
      </w:r>
      <w:r w:rsidRPr="009C21D6">
        <w:rPr>
          <w:rFonts w:asciiTheme="majorHAnsi" w:hAnsiTheme="majorHAnsi"/>
          <w:spacing w:val="4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Directors</w:t>
      </w:r>
      <w:r w:rsidRPr="009C21D6">
        <w:rPr>
          <w:rFonts w:asciiTheme="majorHAnsi" w:hAnsiTheme="majorHAnsi"/>
          <w:spacing w:val="3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of</w:t>
      </w:r>
      <w:r w:rsidRPr="009C21D6">
        <w:rPr>
          <w:rFonts w:asciiTheme="majorHAnsi" w:hAnsiTheme="majorHAnsi"/>
          <w:spacing w:val="4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the</w:t>
      </w:r>
      <w:r w:rsidRPr="009C21D6">
        <w:rPr>
          <w:rFonts w:asciiTheme="majorHAnsi" w:hAnsiTheme="majorHAnsi"/>
          <w:spacing w:val="6"/>
          <w:sz w:val="22"/>
          <w:szCs w:val="22"/>
        </w:rPr>
        <w:t xml:space="preserve"> </w:t>
      </w:r>
      <w:r w:rsidRPr="009C21D6">
        <w:rPr>
          <w:rFonts w:asciiTheme="majorHAnsi" w:hAnsiTheme="majorHAnsi"/>
          <w:sz w:val="22"/>
          <w:szCs w:val="22"/>
        </w:rPr>
        <w:t>Comp</w:t>
      </w:r>
      <w:r w:rsidRPr="0005400B">
        <w:rPr>
          <w:rFonts w:asciiTheme="majorHAnsi" w:hAnsiTheme="majorHAnsi"/>
          <w:sz w:val="24"/>
          <w:szCs w:val="24"/>
        </w:rPr>
        <w:t>any.</w:t>
      </w:r>
    </w:p>
    <w:sectPr w:rsidR="00CF72B8" w:rsidRPr="0005400B">
      <w:pgSz w:w="12240" w:h="15840"/>
      <w:pgMar w:top="460" w:right="110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F72B8"/>
    <w:rsid w:val="0005400B"/>
    <w:rsid w:val="001A1E56"/>
    <w:rsid w:val="009C21D6"/>
    <w:rsid w:val="00CF72B8"/>
    <w:rsid w:val="00E9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8159"/>
  <w15:docId w15:val="{5B5CB5C4-F247-4AE7-80BB-9EDC9EF8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15"/>
      <w:outlineLvl w:val="0"/>
    </w:pPr>
    <w:rPr>
      <w:rFonts w:ascii="Palatino Linotype" w:eastAsia="Palatino Linotype" w:hAnsi="Palatino Linotype" w:cs="Palatino Linotype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92"/>
      <w:ind w:left="264" w:right="104"/>
      <w:jc w:val="center"/>
    </w:pPr>
    <w:rPr>
      <w:rFonts w:ascii="Palatino Linotype" w:eastAsia="Palatino Linotype" w:hAnsi="Palatino Linotype" w:cs="Palatino Linotype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Criteria for making payments to NEDs</dc:title>
  <dc:creator>ACCOUNT1</dc:creator>
  <cp:lastModifiedBy>DELL</cp:lastModifiedBy>
  <cp:revision>5</cp:revision>
  <dcterms:created xsi:type="dcterms:W3CDTF">2022-10-10T05:41:00Z</dcterms:created>
  <dcterms:modified xsi:type="dcterms:W3CDTF">2024-04-30T20:08:00Z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2022-10-10T00:00:00Z</vt:filetime>
  </property>
</Properties>
</file>