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88930" w14:textId="77777777" w:rsidR="00652BD5" w:rsidRDefault="00000000">
      <w:pPr>
        <w:widowControl w:val="0"/>
        <w:tabs>
          <w:tab w:val="left" w:pos="142"/>
        </w:tabs>
        <w:spacing w:after="120" w:line="240" w:lineRule="auto"/>
        <w:rPr>
          <w:rFonts w:ascii="IBM Plex Sans ExtraLight" w:eastAsia="IBM Plex Sans ExtraLight" w:hAnsi="IBM Plex Sans ExtraLight" w:cs="IBM Plex Sans ExtraLight"/>
          <w:color w:val="6D01B9"/>
          <w:sz w:val="20"/>
          <w:szCs w:val="20"/>
        </w:rPr>
      </w:pPr>
      <w:bookmarkStart w:id="0" w:name="_heading=h.gjdgxs" w:colFirst="0" w:colLast="0"/>
      <w:bookmarkEnd w:id="0"/>
      <w:r>
        <w:rPr>
          <w:rFonts w:ascii="IBM Plex Sans ExtraLight" w:eastAsia="IBM Plex Sans ExtraLight" w:hAnsi="IBM Plex Sans ExtraLight" w:cs="IBM Plex Sans ExtraLight"/>
          <w:color w:val="6D01B9"/>
          <w:sz w:val="20"/>
          <w:szCs w:val="20"/>
        </w:rPr>
        <w:t>CASE LAW REVIEW #XXX</w:t>
      </w:r>
    </w:p>
    <w:p w14:paraId="7663D345" w14:textId="77777777" w:rsidR="00652BD5" w:rsidRDefault="00000000">
      <w:pPr>
        <w:widowControl w:val="0"/>
        <w:tabs>
          <w:tab w:val="left" w:pos="142"/>
        </w:tabs>
        <w:spacing w:after="120" w:line="240" w:lineRule="auto"/>
        <w:rPr>
          <w:rFonts w:ascii="IBM Plex Sans Medium" w:eastAsia="IBM Plex Sans Medium" w:hAnsi="IBM Plex Sans Medium" w:cs="IBM Plex Sans Medium"/>
        </w:rPr>
      </w:pPr>
      <w:r>
        <w:rPr>
          <w:rFonts w:ascii="IBM Plex Sans Medium" w:eastAsia="IBM Plex Sans Medium" w:hAnsi="IBM Plex Sans Medium" w:cs="IBM Plex Sans Medium"/>
          <w:color w:val="6D01B9"/>
          <w:sz w:val="36"/>
          <w:szCs w:val="36"/>
        </w:rPr>
        <w:t>Caudill Seed &amp; Warehouse Co. v. Jarrow Formulas, Inc.</w:t>
      </w:r>
    </w:p>
    <w:tbl>
      <w:tblPr>
        <w:tblStyle w:val="af5"/>
        <w:tblpPr w:leftFromText="180" w:rightFromText="180" w:vertAnchor="text" w:tblpY="195"/>
        <w:tblW w:w="1063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828"/>
        <w:gridCol w:w="6804"/>
      </w:tblGrid>
      <w:tr w:rsidR="00652BD5" w14:paraId="4A7FCF73" w14:textId="77777777" w:rsidTr="00117E71">
        <w:trPr>
          <w:trHeight w:val="3403"/>
        </w:trPr>
        <w:tc>
          <w:tcPr>
            <w:tcW w:w="3828" w:type="dxa"/>
            <w:shd w:val="clear" w:color="auto" w:fill="EDE6F2"/>
          </w:tcPr>
          <w:p w14:paraId="6EAD004A" w14:textId="77777777" w:rsidR="00652BD5" w:rsidRDefault="00000000">
            <w:pPr>
              <w:spacing w:before="120" w:line="276" w:lineRule="auto"/>
              <w:ind w:left="113" w:right="113"/>
              <w:rPr>
                <w:rFonts w:ascii="IBM Plex Sans Medium" w:eastAsia="IBM Plex Sans Medium" w:hAnsi="IBM Plex Sans Medium" w:cs="IBM Plex Sans Medium"/>
                <w:color w:val="6D01B9"/>
              </w:rPr>
            </w:pPr>
            <w:r>
              <w:rPr>
                <w:rFonts w:ascii="IBM Plex Sans Medium" w:eastAsia="IBM Plex Sans Medium" w:hAnsi="IBM Plex Sans Medium" w:cs="IBM Plex Sans Medium"/>
                <w:color w:val="6D01B9"/>
              </w:rPr>
              <w:t xml:space="preserve">Not given, Not given </w:t>
            </w:r>
          </w:p>
          <w:p w14:paraId="7DF10B3E" w14:textId="77777777" w:rsidR="00652BD5" w:rsidRDefault="00000000">
            <w:pPr>
              <w:spacing w:line="276" w:lineRule="auto"/>
              <w:ind w:left="113" w:right="113"/>
              <w:rPr>
                <w:rFonts w:ascii="IBM Plex Sans Medium" w:eastAsia="IBM Plex Sans Medium" w:hAnsi="IBM Plex Sans Medium" w:cs="IBM Plex Sans Medium"/>
                <w:color w:val="6D01B9"/>
              </w:rPr>
            </w:pPr>
            <w:r>
              <w:rPr>
                <w:rFonts w:ascii="IBM Plex Sans Medium" w:eastAsia="IBM Plex Sans Medium" w:hAnsi="IBM Plex Sans Medium" w:cs="IBM Plex Sans Medium"/>
                <w:color w:val="6D01B9"/>
              </w:rPr>
              <w:t xml:space="preserve">Judge Karen Nelson Moore </w:t>
            </w:r>
          </w:p>
          <w:p w14:paraId="23494D2D" w14:textId="77777777" w:rsidR="00652BD5" w:rsidRDefault="00000000">
            <w:pPr>
              <w:spacing w:line="276" w:lineRule="auto"/>
              <w:ind w:left="113" w:right="113"/>
              <w:rPr>
                <w:rFonts w:ascii="IBM Plex Sans ExtraLight" w:eastAsia="IBM Plex Sans ExtraLight" w:hAnsi="IBM Plex Sans ExtraLight" w:cs="IBM Plex Sans ExtraLight"/>
                <w:sz w:val="20"/>
                <w:szCs w:val="20"/>
              </w:rPr>
            </w:pPr>
            <w:r>
              <w:rPr>
                <w:rFonts w:ascii="IBM Plex Sans Medium" w:eastAsia="IBM Plex Sans Medium" w:hAnsi="IBM Plex Sans Medium" w:cs="IBM Plex Sans Medium"/>
                <w:color w:val="6D01B9"/>
              </w:rPr>
              <w:t xml:space="preserve">Case: </w:t>
            </w:r>
            <w:hyperlink r:id="rId7">
              <w:r>
                <w:rPr>
                  <w:rFonts w:ascii="IBM Plex Sans Medium" w:eastAsia="IBM Plex Sans Medium" w:hAnsi="IBM Plex Sans Medium" w:cs="IBM Plex Sans Medium"/>
                  <w:color w:val="6D01B9"/>
                  <w:u w:val="single"/>
                </w:rPr>
                <w:t>XX-XX-00000-XXX</w:t>
              </w:r>
            </w:hyperlink>
          </w:p>
        </w:tc>
        <w:tc>
          <w:tcPr>
            <w:tcW w:w="6804" w:type="dxa"/>
            <w:shd w:val="clear" w:color="auto" w:fill="EDE6F2"/>
          </w:tcPr>
          <w:p w14:paraId="4E22705E" w14:textId="77777777" w:rsidR="00652BD5" w:rsidRDefault="00000000">
            <w:pPr>
              <w:spacing w:before="120" w:after="120"/>
              <w:ind w:left="113" w:right="113"/>
              <w:rPr>
                <w:rFonts w:ascii="IBM Plex Sans Medium" w:eastAsia="IBM Plex Sans Medium" w:hAnsi="IBM Plex Sans Medium" w:cs="IBM Plex Sans Medium"/>
                <w:b/>
                <w:color w:val="6D01B9"/>
                <w:sz w:val="20"/>
                <w:szCs w:val="20"/>
              </w:rPr>
            </w:pPr>
            <w:r>
              <w:rPr>
                <w:rFonts w:ascii="IBM Plex Sans Medium" w:eastAsia="IBM Plex Sans Medium" w:hAnsi="IBM Plex Sans Medium" w:cs="IBM Plex Sans Medium"/>
                <w:color w:val="6D01B9"/>
                <w:sz w:val="20"/>
                <w:szCs w:val="20"/>
              </w:rPr>
              <w:t>SUMMARY</w:t>
            </w:r>
          </w:p>
          <w:p w14:paraId="1A3DA8C2" w14:textId="77777777" w:rsidR="00652BD5" w:rsidRDefault="00000000">
            <w:pPr>
              <w:spacing w:after="120"/>
              <w:ind w:left="113" w:right="113"/>
              <w:rPr>
                <w:rFonts w:ascii="IBM Plex Sans ExtraLight" w:eastAsia="IBM Plex Sans ExtraLight" w:hAnsi="IBM Plex Sans ExtraLight" w:cs="IBM Plex Sans ExtraLight"/>
              </w:rPr>
            </w:pPr>
            <w:r>
              <w:rPr>
                <w:rFonts w:ascii="IBM Plex Sans ExtraLight" w:eastAsia="IBM Plex Sans ExtraLight" w:hAnsi="IBM Plex Sans ExtraLight" w:cs="IBM Plex Sans ExtraLight"/>
                <w:sz w:val="22"/>
                <w:szCs w:val="22"/>
              </w:rPr>
              <w:t xml:space="preserve">In Caudill Seed &amp; Warehouse Co. v. Jarrow Formulas, Inc., the dispute centered around the trade secret misappropriation by Jarrow Formulas. Caudill alleged Jarrow misused its </w:t>
            </w:r>
            <w:r>
              <w:rPr>
                <w:rFonts w:ascii="IBM Plex Sans Medium" w:eastAsia="IBM Plex Sans Medium" w:hAnsi="IBM Plex Sans Medium" w:cs="IBM Plex Sans Medium"/>
                <w:sz w:val="22"/>
                <w:szCs w:val="22"/>
              </w:rPr>
              <w:t>trade secret</w:t>
            </w:r>
            <w:r>
              <w:rPr>
                <w:rFonts w:ascii="IBM Plex Sans ExtraLight" w:eastAsia="IBM Plex Sans ExtraLight" w:hAnsi="IBM Plex Sans ExtraLight" w:cs="IBM Plex Sans ExtraLight"/>
                <w:sz w:val="22"/>
                <w:szCs w:val="22"/>
              </w:rPr>
              <w:t xml:space="preserve"> related to broccoli seed extract production, leading to a trial focusing on damages for misappropriation, including research and development costs, and unjust enrichment. The jury’s instructions allowed considerations beyond mere development costs, incorporating the defendant’s profits from the </w:t>
            </w:r>
            <w:r>
              <w:rPr>
                <w:rFonts w:ascii="IBM Plex Sans Medium" w:eastAsia="IBM Plex Sans Medium" w:hAnsi="IBM Plex Sans Medium" w:cs="IBM Plex Sans Medium"/>
                <w:sz w:val="22"/>
                <w:szCs w:val="22"/>
              </w:rPr>
              <w:t>trade secret</w:t>
            </w:r>
            <w:r>
              <w:rPr>
                <w:rFonts w:ascii="IBM Plex Sans ExtraLight" w:eastAsia="IBM Plex Sans ExtraLight" w:hAnsi="IBM Plex Sans ExtraLight" w:cs="IBM Plex Sans ExtraLight"/>
                <w:sz w:val="22"/>
                <w:szCs w:val="22"/>
              </w:rPr>
              <w:t xml:space="preserve"> use.</w:t>
            </w:r>
          </w:p>
        </w:tc>
      </w:tr>
    </w:tbl>
    <w:p w14:paraId="244658BA" w14:textId="77777777" w:rsidR="00652BD5" w:rsidRDefault="00652BD5">
      <w:pPr>
        <w:spacing w:after="288" w:line="240" w:lineRule="auto"/>
        <w:rPr>
          <w:rFonts w:ascii="IBM Plex Sans ExtraLight" w:eastAsia="IBM Plex Sans ExtraLight" w:hAnsi="IBM Plex Sans ExtraLight" w:cs="IBM Plex Sans ExtraLight"/>
          <w:sz w:val="16"/>
          <w:szCs w:val="16"/>
        </w:rPr>
      </w:pPr>
    </w:p>
    <w:tbl>
      <w:tblPr>
        <w:tblStyle w:val="af6"/>
        <w:tblW w:w="10635" w:type="dxa"/>
        <w:tblInd w:w="0" w:type="dxa"/>
        <w:tblBorders>
          <w:top w:val="nil"/>
          <w:left w:val="nil"/>
          <w:bottom w:val="nil"/>
          <w:right w:val="nil"/>
          <w:insideH w:val="single" w:sz="24" w:space="0" w:color="FFFFFF"/>
          <w:insideV w:val="single" w:sz="2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2325"/>
        <w:gridCol w:w="8310"/>
      </w:tblGrid>
      <w:tr w:rsidR="00652BD5" w14:paraId="7B997247" w14:textId="77777777" w:rsidTr="00117E71">
        <w:tc>
          <w:tcPr>
            <w:tcW w:w="2325" w:type="dxa"/>
            <w:shd w:val="clear" w:color="auto" w:fill="F2F2F2" w:themeFill="background1" w:themeFillShade="F2"/>
          </w:tcPr>
          <w:p w14:paraId="39C6AB44" w14:textId="77777777" w:rsidR="00652BD5" w:rsidRPr="00117E71" w:rsidRDefault="00000000">
            <w:pPr>
              <w:spacing w:before="120" w:after="120"/>
              <w:ind w:left="113" w:right="113"/>
              <w:rPr>
                <w:rFonts w:ascii="IBM Plex Sans Medium" w:eastAsia="IBM Plex Sans Medium" w:hAnsi="IBM Plex Sans Medium" w:cs="IBM Plex Sans Medium"/>
                <w:color w:val="000000" w:themeColor="text1"/>
                <w:sz w:val="20"/>
                <w:szCs w:val="20"/>
              </w:rPr>
            </w:pPr>
            <w:r w:rsidRPr="00117E71">
              <w:rPr>
                <w:rFonts w:ascii="IBM Plex Sans Medium" w:eastAsia="IBM Plex Sans Medium" w:hAnsi="IBM Plex Sans Medium" w:cs="IBM Plex Sans Medium"/>
                <w:color w:val="000000" w:themeColor="text1"/>
              </w:rPr>
              <w:t>DECISION</w:t>
            </w:r>
          </w:p>
        </w:tc>
        <w:tc>
          <w:tcPr>
            <w:tcW w:w="8310" w:type="dxa"/>
            <w:shd w:val="clear" w:color="auto" w:fill="FFFFFF"/>
          </w:tcPr>
          <w:p w14:paraId="15A5256D" w14:textId="77777777" w:rsidR="00652BD5" w:rsidRPr="00117E71" w:rsidRDefault="00000000">
            <w:pPr>
              <w:spacing w:before="120" w:after="120"/>
              <w:ind w:left="113" w:right="113"/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</w:pPr>
            <w:r w:rsidRPr="00117E71"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  <w:t xml:space="preserve">The jury found Jarrow Formula’s misappropriation of Caudill’s </w:t>
            </w:r>
            <w:r w:rsidRPr="00117E71">
              <w:rPr>
                <w:rFonts w:ascii="IBM Plex Sans Medium" w:eastAsia="IBM Plex Sans Medium" w:hAnsi="IBM Plex Sans Medium" w:cs="IBM Plex Sans Medium"/>
                <w:color w:val="000000" w:themeColor="text1"/>
                <w:sz w:val="20"/>
                <w:szCs w:val="20"/>
              </w:rPr>
              <w:t>trade secret</w:t>
            </w:r>
            <w:r w:rsidRPr="00117E71"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  <w:t xml:space="preserve"> to be willful and malicious, awarding compensatory damages, and unjust enrichment. The district court upheld these awards, and on appeal, the decision to award $404,605 in unjust-enrichment damages and exemplary damages of $1,000,000 plus attorney fees was affirmed. </w:t>
            </w:r>
          </w:p>
        </w:tc>
      </w:tr>
      <w:tr w:rsidR="00652BD5" w14:paraId="5233E0E2" w14:textId="77777777" w:rsidTr="00117E71">
        <w:tc>
          <w:tcPr>
            <w:tcW w:w="2325" w:type="dxa"/>
            <w:shd w:val="clear" w:color="auto" w:fill="F2F2F2" w:themeFill="background1" w:themeFillShade="F2"/>
          </w:tcPr>
          <w:p w14:paraId="48C20A06" w14:textId="77777777" w:rsidR="00652BD5" w:rsidRPr="00117E71" w:rsidRDefault="00000000">
            <w:pPr>
              <w:spacing w:before="120" w:after="120"/>
              <w:ind w:left="113" w:right="113"/>
              <w:rPr>
                <w:rFonts w:ascii="IBM Plex Sans Medium" w:eastAsia="IBM Plex Sans Medium" w:hAnsi="IBM Plex Sans Medium" w:cs="IBM Plex Sans Medium"/>
                <w:color w:val="000000" w:themeColor="text1"/>
                <w:sz w:val="20"/>
                <w:szCs w:val="20"/>
              </w:rPr>
            </w:pPr>
            <w:r w:rsidRPr="00117E71">
              <w:rPr>
                <w:rFonts w:ascii="IBM Plex Sans Medium" w:eastAsia="IBM Plex Sans Medium" w:hAnsi="IBM Plex Sans Medium" w:cs="IBM Plex Sans Medium"/>
                <w:color w:val="000000" w:themeColor="text1"/>
              </w:rPr>
              <w:t>LEGAL SIGNIFICANCE</w:t>
            </w:r>
          </w:p>
        </w:tc>
        <w:tc>
          <w:tcPr>
            <w:tcW w:w="8310" w:type="dxa"/>
            <w:shd w:val="clear" w:color="auto" w:fill="FFFFFF"/>
          </w:tcPr>
          <w:p w14:paraId="57076829" w14:textId="77777777" w:rsidR="00652BD5" w:rsidRPr="00117E71" w:rsidRDefault="00000000">
            <w:pPr>
              <w:spacing w:before="120" w:after="120"/>
              <w:ind w:left="113" w:right="113"/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</w:pPr>
            <w:r w:rsidRPr="00117E71"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  <w:t xml:space="preserve">This case underscores the flexible approach courts may take in calculating damages in </w:t>
            </w:r>
            <w:r w:rsidRPr="00117E71">
              <w:rPr>
                <w:rFonts w:ascii="IBM Plex Sans Medium" w:eastAsia="IBM Plex Sans Medium" w:hAnsi="IBM Plex Sans Medium" w:cs="IBM Plex Sans Medium"/>
                <w:color w:val="000000" w:themeColor="text1"/>
                <w:sz w:val="20"/>
                <w:szCs w:val="20"/>
              </w:rPr>
              <w:t>trade secret</w:t>
            </w:r>
            <w:r w:rsidRPr="00117E71"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  <w:t xml:space="preserve"> misappropriation cases, considering both the unjust enrichment of the defendant and the actual losses of the plaintiff. It highlights </w:t>
            </w:r>
            <w:r w:rsidRPr="00117E71">
              <w:rPr>
                <w:rFonts w:ascii="IBM Plex Sans Medium" w:eastAsia="IBM Plex Sans Medium" w:hAnsi="IBM Plex Sans Medium" w:cs="IBM Plex Sans Medium"/>
                <w:color w:val="000000" w:themeColor="text1"/>
                <w:sz w:val="20"/>
                <w:szCs w:val="20"/>
              </w:rPr>
              <w:t>trade secret</w:t>
            </w:r>
            <w:r w:rsidRPr="00117E71"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  <w:t xml:space="preserve"> laws’ adaptability to varying factual circumstances and the significance of willful and malicious behavior in awarding exemplary damages. </w:t>
            </w:r>
          </w:p>
        </w:tc>
      </w:tr>
      <w:tr w:rsidR="00652BD5" w14:paraId="0070540B" w14:textId="77777777" w:rsidTr="00117E71">
        <w:tc>
          <w:tcPr>
            <w:tcW w:w="2325" w:type="dxa"/>
            <w:shd w:val="clear" w:color="auto" w:fill="F2F2F2" w:themeFill="background1" w:themeFillShade="F2"/>
          </w:tcPr>
          <w:p w14:paraId="2B471ED6" w14:textId="77777777" w:rsidR="00652BD5" w:rsidRPr="00117E71" w:rsidRDefault="00000000">
            <w:pPr>
              <w:spacing w:before="120" w:after="120"/>
              <w:ind w:left="113" w:right="113"/>
              <w:rPr>
                <w:rFonts w:ascii="IBM Plex Sans Medium" w:eastAsia="IBM Plex Sans Medium" w:hAnsi="IBM Plex Sans Medium" w:cs="IBM Plex Sans Medium"/>
                <w:color w:val="000000" w:themeColor="text1"/>
                <w:sz w:val="20"/>
                <w:szCs w:val="20"/>
              </w:rPr>
            </w:pPr>
            <w:r w:rsidRPr="00117E71">
              <w:rPr>
                <w:rFonts w:ascii="IBM Plex Sans Medium" w:eastAsia="IBM Plex Sans Medium" w:hAnsi="IBM Plex Sans Medium" w:cs="IBM Plex Sans Medium"/>
                <w:color w:val="000000" w:themeColor="text1"/>
              </w:rPr>
              <w:t>FINANCIAL JUDGMENT</w:t>
            </w:r>
          </w:p>
        </w:tc>
        <w:tc>
          <w:tcPr>
            <w:tcW w:w="8310" w:type="dxa"/>
            <w:shd w:val="clear" w:color="auto" w:fill="FFFFFF"/>
          </w:tcPr>
          <w:p w14:paraId="6276BE53" w14:textId="77777777" w:rsidR="00652BD5" w:rsidRPr="00117E71" w:rsidRDefault="00000000">
            <w:pPr>
              <w:spacing w:before="120" w:after="120"/>
              <w:ind w:left="113" w:right="113"/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</w:pPr>
            <w:r w:rsidRPr="00117E71">
              <w:rPr>
                <w:rFonts w:ascii="IBM Plex Sans Medium" w:eastAsia="IBM Plex Sans Medium" w:hAnsi="IBM Plex Sans Medium" w:cs="IBM Plex Sans Medium"/>
                <w:color w:val="000000" w:themeColor="text1"/>
                <w:sz w:val="20"/>
                <w:szCs w:val="20"/>
              </w:rPr>
              <w:t>$404,605</w:t>
            </w:r>
            <w:r w:rsidRPr="00117E71"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  <w:t xml:space="preserve"> in unjust-enrichment damages</w:t>
            </w:r>
            <w:r w:rsidRPr="00117E71">
              <w:rPr>
                <w:rFonts w:ascii="IBM Plex Sans Medium" w:eastAsia="IBM Plex Sans Medium" w:hAnsi="IBM Plex Sans Medium" w:cs="IBM Plex Sans Medium"/>
                <w:color w:val="000000" w:themeColor="text1"/>
                <w:sz w:val="20"/>
                <w:szCs w:val="20"/>
              </w:rPr>
              <w:t>, $1,000,000</w:t>
            </w:r>
            <w:r w:rsidRPr="00117E71"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  <w:t xml:space="preserve"> in exemplary damages, and </w:t>
            </w:r>
            <w:r w:rsidRPr="00117E71">
              <w:rPr>
                <w:rFonts w:ascii="IBM Plex Sans Medium" w:eastAsia="IBM Plex Sans Medium" w:hAnsi="IBM Plex Sans Medium" w:cs="IBM Plex Sans Medium"/>
                <w:color w:val="000000" w:themeColor="text1"/>
                <w:sz w:val="20"/>
                <w:szCs w:val="20"/>
              </w:rPr>
              <w:t>$3,254,303.50</w:t>
            </w:r>
            <w:r w:rsidRPr="00117E71"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  <w:t xml:space="preserve"> in attorney fees were awarded. </w:t>
            </w:r>
          </w:p>
        </w:tc>
      </w:tr>
      <w:tr w:rsidR="00652BD5" w14:paraId="1F5031FA" w14:textId="77777777" w:rsidTr="00117E71">
        <w:tc>
          <w:tcPr>
            <w:tcW w:w="2325" w:type="dxa"/>
            <w:shd w:val="clear" w:color="auto" w:fill="F2F2F2" w:themeFill="background1" w:themeFillShade="F2"/>
          </w:tcPr>
          <w:p w14:paraId="7054CDF6" w14:textId="77777777" w:rsidR="00652BD5" w:rsidRPr="00117E71" w:rsidRDefault="00000000">
            <w:pPr>
              <w:spacing w:before="120" w:after="120"/>
              <w:ind w:left="113" w:right="113"/>
              <w:rPr>
                <w:rFonts w:ascii="IBM Plex Sans Medium" w:eastAsia="IBM Plex Sans Medium" w:hAnsi="IBM Plex Sans Medium" w:cs="IBM Plex Sans Medium"/>
                <w:color w:val="000000" w:themeColor="text1"/>
                <w:sz w:val="20"/>
                <w:szCs w:val="20"/>
              </w:rPr>
            </w:pPr>
            <w:r w:rsidRPr="00117E71">
              <w:rPr>
                <w:rFonts w:ascii="IBM Plex Sans Medium" w:eastAsia="IBM Plex Sans Medium" w:hAnsi="IBM Plex Sans Medium" w:cs="IBM Plex Sans Medium"/>
                <w:color w:val="000000" w:themeColor="text1"/>
              </w:rPr>
              <w:t>KEY TAKEAWAYS</w:t>
            </w:r>
          </w:p>
        </w:tc>
        <w:tc>
          <w:tcPr>
            <w:tcW w:w="8310" w:type="dxa"/>
            <w:shd w:val="clear" w:color="auto" w:fill="FFFFFF"/>
          </w:tcPr>
          <w:p w14:paraId="006E3768" w14:textId="77777777" w:rsidR="00652BD5" w:rsidRPr="00117E71" w:rsidRDefault="00000000">
            <w:pPr>
              <w:spacing w:before="120" w:after="120"/>
              <w:ind w:left="113" w:right="113"/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</w:pPr>
            <w:r w:rsidRPr="00117E71"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  <w:t xml:space="preserve">The verdict demonstrates the courts’ willingness to consider broad measures of damages in </w:t>
            </w:r>
            <w:r w:rsidRPr="00117E71">
              <w:rPr>
                <w:rFonts w:ascii="IBM Plex Sans Medium" w:eastAsia="IBM Plex Sans Medium" w:hAnsi="IBM Plex Sans Medium" w:cs="IBM Plex Sans Medium"/>
                <w:color w:val="000000" w:themeColor="text1"/>
                <w:sz w:val="20"/>
                <w:szCs w:val="20"/>
              </w:rPr>
              <w:t xml:space="preserve">trade secret </w:t>
            </w:r>
            <w:r w:rsidRPr="00117E71"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  <w:t xml:space="preserve">misappropriation cases, focusing on both the plaintiff’s losses and the defendant’s unjust gains. The emphasis on willful and malicious misappropriation as a basis for exemplary damages serves as a stern warning against </w:t>
            </w:r>
            <w:r w:rsidRPr="00117E71">
              <w:rPr>
                <w:rFonts w:ascii="IBM Plex Sans Medium" w:eastAsia="IBM Plex Sans Medium" w:hAnsi="IBM Plex Sans Medium" w:cs="IBM Plex Sans Medium"/>
                <w:color w:val="000000" w:themeColor="text1"/>
                <w:sz w:val="20"/>
                <w:szCs w:val="20"/>
              </w:rPr>
              <w:t>trade secret</w:t>
            </w:r>
            <w:r w:rsidRPr="00117E71">
              <w:rPr>
                <w:rFonts w:ascii="IBM Plex Sans ExtraLight" w:eastAsia="IBM Plex Sans ExtraLight" w:hAnsi="IBM Plex Sans ExtraLight" w:cs="IBM Plex Sans ExtraLight"/>
                <w:color w:val="000000" w:themeColor="text1"/>
                <w:sz w:val="20"/>
                <w:szCs w:val="20"/>
              </w:rPr>
              <w:t xml:space="preserve"> theft. </w:t>
            </w:r>
          </w:p>
        </w:tc>
      </w:tr>
    </w:tbl>
    <w:p w14:paraId="629A0934" w14:textId="77777777" w:rsidR="00652BD5" w:rsidRDefault="00652BD5">
      <w:pPr>
        <w:spacing w:after="0"/>
        <w:rPr>
          <w:rFonts w:ascii="IBM Plex Sans ExtraLight" w:eastAsia="IBM Plex Sans ExtraLight" w:hAnsi="IBM Plex Sans ExtraLight" w:cs="IBM Plex Sans ExtraLight"/>
          <w:sz w:val="20"/>
          <w:szCs w:val="20"/>
        </w:rPr>
      </w:pPr>
    </w:p>
    <w:p w14:paraId="4A5FFCE0" w14:textId="77777777" w:rsidR="00652BD5" w:rsidRDefault="00652BD5">
      <w:pPr>
        <w:spacing w:after="0"/>
        <w:rPr>
          <w:rFonts w:ascii="IBM Plex Sans ExtraLight" w:eastAsia="IBM Plex Sans ExtraLight" w:hAnsi="IBM Plex Sans ExtraLight" w:cs="IBM Plex Sans ExtraLight"/>
          <w:sz w:val="20"/>
          <w:szCs w:val="20"/>
        </w:rPr>
      </w:pPr>
    </w:p>
    <w:sectPr w:rsidR="00652BD5">
      <w:headerReference w:type="default" r:id="rId8"/>
      <w:footerReference w:type="default" r:id="rId9"/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70A46" w14:textId="77777777" w:rsidR="00026CED" w:rsidRDefault="00026CED">
      <w:pPr>
        <w:spacing w:after="0" w:line="240" w:lineRule="auto"/>
      </w:pPr>
      <w:r>
        <w:separator/>
      </w:r>
    </w:p>
  </w:endnote>
  <w:endnote w:type="continuationSeparator" w:id="0">
    <w:p w14:paraId="640A1703" w14:textId="77777777" w:rsidR="00026CED" w:rsidRDefault="00026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IBM Plex Sans">
    <w:panose1 w:val="020B0503050203000203"/>
    <w:charset w:val="00"/>
    <w:family w:val="swiss"/>
    <w:pitch w:val="variable"/>
    <w:sig w:usb0="A00002EF" w:usb1="5000203B" w:usb2="00000000" w:usb3="00000000" w:csb0="0000019F" w:csb1="00000000"/>
    <w:embedRegular r:id="rId1" w:fontKey="{38A6FE86-01AB-EB41-A804-D532551A17FC}"/>
    <w:embedItalic r:id="rId2" w:fontKey="{7F3CC5F1-CD63-9B48-9D30-C7D350BC2CB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CD8A2068-AA46-2047-8DE3-12632E98CF8F}"/>
    <w:embedBold r:id="rId4" w:fontKey="{86B32560-9927-A949-8DD9-383621DE3255}"/>
    <w:embedItalic r:id="rId5" w:fontKey="{4828B5DF-C48A-234D-8908-E7157E8A0466}"/>
  </w:font>
  <w:font w:name="IBM Plex Sans ExtraLight">
    <w:panose1 w:val="020B0303050203000203"/>
    <w:charset w:val="00"/>
    <w:family w:val="swiss"/>
    <w:pitch w:val="variable"/>
    <w:sig w:usb0="A00002EF" w:usb1="5000203B" w:usb2="00000000" w:usb3="00000000" w:csb0="0000019F" w:csb1="00000000"/>
    <w:embedRegular r:id="rId6" w:fontKey="{54B7BBE2-3BC1-904C-98FF-5168DC8A824C}"/>
    <w:embedBold r:id="rId7" w:fontKey="{2F37EBF8-6F8A-6B44-B55E-61173D85FAA5}"/>
  </w:font>
  <w:font w:name="IBM Plex Sans Medium">
    <w:panose1 w:val="020B0603050203000203"/>
    <w:charset w:val="00"/>
    <w:family w:val="swiss"/>
    <w:pitch w:val="variable"/>
    <w:sig w:usb0="A00002EF" w:usb1="5000203B" w:usb2="00000000" w:usb3="00000000" w:csb0="0000019F" w:csb1="00000000"/>
    <w:embedRegular r:id="rId8" w:fontKey="{5FB0DFFC-33FD-7C4C-ADDF-D5CD125CFBA4}"/>
    <w:embedBold r:id="rId9" w:fontKey="{20A29FAB-0F5C-2C42-AA76-37CE6A21C4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F4E20" w14:textId="6A555332" w:rsidR="00652BD5" w:rsidRDefault="00661D48">
    <w:pPr>
      <w:widowControl w:val="0"/>
      <w:spacing w:after="0" w:line="240" w:lineRule="auto"/>
      <w:rPr>
        <w:rFonts w:ascii="IBM Plex Sans ExtraLight" w:eastAsia="IBM Plex Sans ExtraLight" w:hAnsi="IBM Plex Sans ExtraLight" w:cs="IBM Plex Sans ExtraLight"/>
        <w:b/>
        <w:color w:val="6D01B9"/>
        <w:sz w:val="20"/>
        <w:szCs w:val="20"/>
      </w:rPr>
    </w:pPr>
    <w:r w:rsidRPr="00661D48">
      <w:rPr>
        <w:rFonts w:ascii="IBM Plex Sans ExtraLight" w:eastAsia="IBM Plex Sans ExtraLight" w:hAnsi="IBM Plex Sans ExtraLight" w:cs="IBM Plex Sans ExtraLight"/>
        <w:b/>
        <w:color w:val="6D01B9"/>
        <w:sz w:val="20"/>
        <w:szCs w:val="20"/>
      </w:rPr>
      <w:drawing>
        <wp:anchor distT="0" distB="0" distL="114300" distR="114300" simplePos="0" relativeHeight="251660288" behindDoc="1" locked="0" layoutInCell="1" allowOverlap="1" wp14:anchorId="2F994016" wp14:editId="1649C06C">
          <wp:simplePos x="0" y="0"/>
          <wp:positionH relativeFrom="column">
            <wp:posOffset>5914102</wp:posOffset>
          </wp:positionH>
          <wp:positionV relativeFrom="paragraph">
            <wp:posOffset>-417258</wp:posOffset>
          </wp:positionV>
          <wp:extent cx="810711" cy="810711"/>
          <wp:effectExtent l="0" t="0" r="2540" b="2540"/>
          <wp:wrapNone/>
          <wp:docPr id="2030238399" name="Рисунок 1" descr="Изображение выглядит как шаблон, Графика, прямоугольный, пиксель&#10;&#10;Автоматически созданное описание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0238399" name="Рисунок 1" descr="Изображение выглядит как шаблон, Графика, прямоугольный, пиксель&#10;&#10;Автоматически созданное описание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3916" cy="8139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2">
      <w:r w:rsidR="00000000">
        <w:rPr>
          <w:rFonts w:ascii="IBM Plex Sans ExtraLight" w:eastAsia="IBM Plex Sans ExtraLight" w:hAnsi="IBM Plex Sans ExtraLight" w:cs="IBM Plex Sans ExtraLight"/>
          <w:b/>
          <w:color w:val="6D01B9"/>
          <w:sz w:val="20"/>
          <w:szCs w:val="20"/>
          <w:u w:val="single"/>
        </w:rPr>
        <w:t xml:space="preserve">Discover and protect </w:t>
      </w:r>
    </w:hyperlink>
    <w:r w:rsidR="00000000">
      <w:rPr>
        <w:rFonts w:ascii="IBM Plex Sans ExtraLight" w:eastAsia="IBM Plex Sans ExtraLight" w:hAnsi="IBM Plex Sans ExtraLight" w:cs="IBM Plex Sans ExtraLight"/>
        <w:b/>
        <w:color w:val="6D01B9"/>
        <w:sz w:val="20"/>
        <w:szCs w:val="20"/>
      </w:rPr>
      <w:t>your trade secrets with Tangibly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07339" w14:textId="77777777" w:rsidR="00026CED" w:rsidRDefault="00026CED">
      <w:pPr>
        <w:spacing w:after="0" w:line="240" w:lineRule="auto"/>
      </w:pPr>
      <w:r>
        <w:separator/>
      </w:r>
    </w:p>
  </w:footnote>
  <w:footnote w:type="continuationSeparator" w:id="0">
    <w:p w14:paraId="5B62AFD0" w14:textId="77777777" w:rsidR="00026CED" w:rsidRDefault="00026C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BE4D8" w14:textId="77777777" w:rsidR="00652BD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ind w:right="-166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9A355F1" wp14:editId="4A24BEFD">
          <wp:simplePos x="0" y="0"/>
          <wp:positionH relativeFrom="column">
            <wp:posOffset>5295775</wp:posOffset>
          </wp:positionH>
          <wp:positionV relativeFrom="paragraph">
            <wp:posOffset>-222883</wp:posOffset>
          </wp:positionV>
          <wp:extent cx="1415915" cy="309236"/>
          <wp:effectExtent l="0" t="0" r="0" b="0"/>
          <wp:wrapNone/>
          <wp:docPr id="498939337" name="image1.png" descr="Изображение выглядит как снимок экрана, Графика, Красочность, дизайн&#10;&#10;Автоматически созданное описание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Изображение выглядит как снимок экрана, Графика, Красочность, дизайн&#10;&#10;Автоматически созданное описание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15915" cy="30923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2BD5"/>
    <w:rsid w:val="00026CED"/>
    <w:rsid w:val="00117E71"/>
    <w:rsid w:val="00242A53"/>
    <w:rsid w:val="002F4D94"/>
    <w:rsid w:val="00652BD5"/>
    <w:rsid w:val="00661D48"/>
    <w:rsid w:val="0090141E"/>
    <w:rsid w:val="00A21AA8"/>
    <w:rsid w:val="00F04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2FC0240"/>
  <w15:docId w15:val="{0A38C205-02F4-3844-ACE3-3F35A9068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sz w:val="24"/>
        <w:szCs w:val="24"/>
        <w:lang w:val="en-US" w:eastAsia="ru-RU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5703"/>
  </w:style>
  <w:style w:type="paragraph" w:styleId="1">
    <w:name w:val="heading 1"/>
    <w:basedOn w:val="a"/>
    <w:next w:val="a"/>
    <w:link w:val="10"/>
    <w:uiPriority w:val="9"/>
    <w:qFormat/>
    <w:rsid w:val="00D957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57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57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57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57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57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57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57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57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D957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957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957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957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957B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957B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957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957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957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957B3"/>
    <w:rPr>
      <w:rFonts w:eastAsiaTheme="majorEastAsia" w:cstheme="majorBidi"/>
      <w:color w:val="272727" w:themeColor="text1" w:themeTint="D8"/>
    </w:rPr>
  </w:style>
  <w:style w:type="character" w:customStyle="1" w:styleId="a4">
    <w:name w:val="Заголовок Знак"/>
    <w:basedOn w:val="a0"/>
    <w:link w:val="a3"/>
    <w:uiPriority w:val="10"/>
    <w:rsid w:val="00D957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Pr>
      <w:color w:val="595959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957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957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957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957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957B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957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957B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957B3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D957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D95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styleId="ae">
    <w:name w:val="Hyperlink"/>
    <w:basedOn w:val="a0"/>
    <w:uiPriority w:val="99"/>
    <w:unhideWhenUsed/>
    <w:rsid w:val="00D957B3"/>
    <w:rPr>
      <w:color w:val="0000FF"/>
      <w:u w:val="single"/>
    </w:rPr>
  </w:style>
  <w:style w:type="paragraph" w:styleId="af">
    <w:name w:val="header"/>
    <w:basedOn w:val="a"/>
    <w:link w:val="af0"/>
    <w:uiPriority w:val="99"/>
    <w:unhideWhenUsed/>
    <w:rsid w:val="00D957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D957B3"/>
  </w:style>
  <w:style w:type="paragraph" w:styleId="af1">
    <w:name w:val="footer"/>
    <w:basedOn w:val="a"/>
    <w:link w:val="af2"/>
    <w:uiPriority w:val="99"/>
    <w:unhideWhenUsed/>
    <w:rsid w:val="00D957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D957B3"/>
  </w:style>
  <w:style w:type="character" w:styleId="af3">
    <w:name w:val="FollowedHyperlink"/>
    <w:basedOn w:val="a0"/>
    <w:uiPriority w:val="99"/>
    <w:semiHidden/>
    <w:unhideWhenUsed/>
    <w:rsid w:val="00DB5703"/>
    <w:rPr>
      <w:color w:val="96607D" w:themeColor="followedHyperlink"/>
      <w:u w:val="single"/>
    </w:rPr>
  </w:style>
  <w:style w:type="character" w:styleId="af4">
    <w:name w:val="Unresolved Mention"/>
    <w:basedOn w:val="a0"/>
    <w:uiPriority w:val="99"/>
    <w:semiHidden/>
    <w:unhideWhenUsed/>
    <w:rsid w:val="00AB74C6"/>
    <w:rPr>
      <w:color w:val="605E5C"/>
      <w:shd w:val="clear" w:color="auto" w:fill="E1DFDD"/>
    </w:r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about:blank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tangibly.com/product/trade-secret-identification/" TargetMode="External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Другая 111">
      <a:majorFont>
        <a:latin typeface="IBM Plex Sans"/>
        <a:ea typeface=""/>
        <a:cs typeface=""/>
      </a:majorFont>
      <a:minorFont>
        <a:latin typeface="IBM Plex Sans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flC/J2pdENK98CHsiq+wFAkxNw==">CgMxLjAyCGguZ2pkZ3hzOAByITFoaVFKbkh0ajdadGF3NTV2RWE5SDQwUHgtSWx0djZyVw==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1945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2005</dc:creator>
  <cp:keywords/>
  <dc:description/>
  <cp:lastModifiedBy>G A</cp:lastModifiedBy>
  <cp:revision>2</cp:revision>
  <dcterms:created xsi:type="dcterms:W3CDTF">2024-05-16T09:57:00Z</dcterms:created>
  <dcterms:modified xsi:type="dcterms:W3CDTF">2024-05-16T09:57:00Z</dcterms:modified>
  <cp:category/>
</cp:coreProperties>
</file>