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2025-09-01 au 2025-09-11</w:t>
      </w:r>
    </w:p>
    <w:p>
      <w:r>
        <w:t>Nombre total d'anomalies : 589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11:28:00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268599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25M004241/0174T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11:28:39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268601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25M004242/0174I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2025-09-05 16:44:58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268852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25M005471/0204W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2025-09-05 16:48:42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268934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25M005472/0204C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09:07:57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268943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88.0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25M003723/0695X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13:40:27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25M004247/0174X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06:09:16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251.0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25M003724/0695C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09:36:34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268949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25M003725/0695B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16:45:09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268953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355.0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25M003961/1959P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10:08:39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25M003962/1959S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2025-08-31 10:22:43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25M003963/1959X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09:10:47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268963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25M003726/0695T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15:22:34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269204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355.0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25M007183/1960Z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2025-09-01 13:49:52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269633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322.0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HOPITAL MILITAIRE</w:t>
            </w:r>
          </w:p>
        </w:tc>
        <w:tc>
          <w:tcPr>
            <w:tcW w:type="dxa" w:w="346"/>
          </w:tcPr>
          <w:p>
            <w:r>
              <w:t>25M003603/0098C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2025-09-02 08:51:39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269990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25M004273/0174Z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2025-09-02 09:53:18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270094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25M007209/1960U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2025-09-02 12:48:54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270380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25M003728/0695G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2025-09-02 09:02:43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270540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25M004292/0174B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HOSPITALISATION CHIRURGICALE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2025-09-02 01:05:54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270543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25M003989/1959A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2025-09-05 16:38:26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270565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25M005539/0204X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