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i w:val="0"/>
          <w:color w:val="1A1A2E"/>
          <w:sz w:val="72"/>
        </w:rPr>
        <w:t>Design X Factor</w:t>
      </w:r>
    </w:p>
    <w:p>
      <w:pPr>
        <w:jc w:val="center"/>
      </w:pPr>
      <w:r>
        <w:rPr>
          <w:rFonts w:ascii="Calibri" w:hAnsi="Calibri"/>
          <w:b w:val="0"/>
          <w:i w:val="0"/>
          <w:color w:val="2B547E"/>
          <w:sz w:val="36"/>
        </w:rPr>
        <w:t>Learning Solutions Prospectus</w:t>
      </w:r>
    </w:p>
    <w:p/>
    <w:p>
      <w:pPr>
        <w:jc w:val="center"/>
      </w:pPr>
      <w:r>
        <w:rPr>
          <w:rFonts w:ascii="Calibri" w:hAnsi="Calibri"/>
          <w:b w:val="0"/>
          <w:i/>
          <w:color w:val="333333"/>
          <w:sz w:val="26"/>
        </w:rPr>
        <w:t>Where Instructional Rigor Meets Exceptional Design</w:t>
      </w:r>
    </w:p>
    <w:p/>
    <w:p>
      <w:pPr>
        <w:jc w:val="center"/>
      </w:pPr>
      <w:r>
        <w:rPr>
          <w:rFonts w:ascii="Calibri" w:hAnsi="Calibri"/>
          <w:b w:val="0"/>
          <w:i w:val="0"/>
          <w:color w:val="2B547E"/>
          <w:sz w:val="22"/>
        </w:rPr>
        <w:t>designxfactor.com</w:t>
      </w:r>
    </w:p>
    <w:p>
      <w:r>
        <w:br w:type="page"/>
      </w:r>
    </w:p>
    <w:p>
      <w:pPr>
        <w:pStyle w:val="Heading1"/>
      </w:pPr>
      <w:r>
        <w:rPr>
          <w:rFonts w:ascii="Calibri" w:hAnsi="Calibri"/>
          <w:b/>
          <w:i w:val="0"/>
          <w:color w:val="1A1A2E"/>
          <w:sz w:val="44"/>
        </w:rPr>
        <w:t>Who We Are</w:t>
      </w:r>
    </w:p>
    <w:p>
      <w:pPr>
        <w:spacing w:after="120"/>
      </w:pPr>
      <w:r>
        <w:rPr>
          <w:rFonts w:ascii="Calibri" w:hAnsi="Calibri"/>
          <w:b w:val="0"/>
          <w:i w:val="0"/>
          <w:color w:val="333333"/>
          <w:sz w:val="22"/>
        </w:rPr>
        <w:t>Design X Factor is a learning solutions company that combines deep instructional design expertise with modern experience design and AI-powered production to create training that actually works. We partner with organizations to transform how their people learn—moving beyond passive content delivery toward engaging, measurable learning experiences.</w:t>
      </w:r>
    </w:p>
    <w:p>
      <w:pPr>
        <w:spacing w:after="120"/>
      </w:pPr>
      <w:r>
        <w:rPr>
          <w:rFonts w:ascii="Calibri" w:hAnsi="Calibri"/>
          <w:b w:val="0"/>
          <w:i w:val="0"/>
          <w:color w:val="333333"/>
          <w:sz w:val="22"/>
        </w:rPr>
        <w:t>Our name reflects our core belief: the difference between forgettable training and transformative learning is the design. Great instructional content deserves great experience design. That intersection—the X factor—is what we deliver.</w:t>
      </w:r>
    </w:p>
    <w:p>
      <w:pPr>
        <w:spacing w:before="120" w:after="120"/>
        <w:pBdr>
          <w:bottom w:val="single" w:sz="4" w:space="1" w:color="1a1a2e"/>
        </w:pBdr>
      </w:pPr>
    </w:p>
    <w:p>
      <w:pPr>
        <w:pStyle w:val="Heading1"/>
      </w:pPr>
      <w:r>
        <w:rPr>
          <w:rFonts w:ascii="Calibri" w:hAnsi="Calibri"/>
          <w:b/>
          <w:i w:val="0"/>
          <w:color w:val="1A1A2E"/>
          <w:sz w:val="44"/>
        </w:rPr>
        <w:t>The Challenge with Traditional Training</w:t>
      </w:r>
    </w:p>
    <w:p>
      <w:pPr>
        <w:spacing w:after="120"/>
      </w:pPr>
      <w:r>
        <w:rPr>
          <w:rFonts w:ascii="Calibri" w:hAnsi="Calibri"/>
          <w:b w:val="0"/>
          <w:i w:val="0"/>
          <w:color w:val="333333"/>
          <w:sz w:val="22"/>
        </w:rPr>
        <w:t>Organizations invest heavily in training, yet the results often fall short. The root causes are well understood:</w:t>
      </w:r>
    </w:p>
    <w:p>
      <w:pPr>
        <w:pStyle w:val="ListBullet"/>
        <w:spacing w:after="80"/>
      </w:pPr>
      <w:r>
        <w:rPr>
          <w:rFonts w:ascii="Calibri" w:hAnsi="Calibri"/>
          <w:b/>
          <w:i w:val="0"/>
          <w:color w:val="333333"/>
          <w:sz w:val="22"/>
        </w:rPr>
        <w:t xml:space="preserve">Low engagement. </w:t>
      </w:r>
      <w:r>
        <w:rPr>
          <w:rFonts w:ascii="Calibri" w:hAnsi="Calibri"/>
          <w:b w:val="0"/>
          <w:i w:val="0"/>
          <w:color w:val="333333"/>
          <w:sz w:val="22"/>
        </w:rPr>
        <w:t>Static slide decks and click-next modules fail to capture attention or motivate learners.</w:t>
      </w:r>
    </w:p>
    <w:p>
      <w:pPr>
        <w:pStyle w:val="ListBullet"/>
        <w:spacing w:after="80"/>
      </w:pPr>
      <w:r>
        <w:rPr>
          <w:rFonts w:ascii="Calibri" w:hAnsi="Calibri"/>
          <w:b/>
          <w:i w:val="0"/>
          <w:color w:val="333333"/>
          <w:sz w:val="22"/>
        </w:rPr>
        <w:t xml:space="preserve">Poor retention. </w:t>
      </w:r>
      <w:r>
        <w:rPr>
          <w:rFonts w:ascii="Calibri" w:hAnsi="Calibri"/>
          <w:b w:val="0"/>
          <w:i w:val="0"/>
          <w:color w:val="333333"/>
          <w:sz w:val="22"/>
        </w:rPr>
        <w:t>Content delivered without context, repetition, or application fades quickly.</w:t>
      </w:r>
    </w:p>
    <w:p>
      <w:pPr>
        <w:pStyle w:val="ListBullet"/>
        <w:spacing w:after="80"/>
      </w:pPr>
      <w:r>
        <w:rPr>
          <w:rFonts w:ascii="Calibri" w:hAnsi="Calibri"/>
          <w:b/>
          <w:i w:val="0"/>
          <w:color w:val="333333"/>
          <w:sz w:val="22"/>
        </w:rPr>
        <w:t xml:space="preserve">One-size-fits-all. </w:t>
      </w:r>
      <w:r>
        <w:rPr>
          <w:rFonts w:ascii="Calibri" w:hAnsi="Calibri"/>
          <w:b w:val="0"/>
          <w:i w:val="0"/>
          <w:color w:val="333333"/>
          <w:sz w:val="22"/>
        </w:rPr>
        <w:t>Diverse audiences receive identical content regardless of role, experience, or learning style.</w:t>
      </w:r>
    </w:p>
    <w:p>
      <w:pPr>
        <w:pStyle w:val="ListBullet"/>
        <w:spacing w:after="80"/>
      </w:pPr>
      <w:r>
        <w:rPr>
          <w:rFonts w:ascii="Calibri" w:hAnsi="Calibri"/>
          <w:b/>
          <w:i w:val="0"/>
          <w:color w:val="333333"/>
          <w:sz w:val="22"/>
        </w:rPr>
        <w:t xml:space="preserve">Difficulty scaling. </w:t>
      </w:r>
      <w:r>
        <w:rPr>
          <w:rFonts w:ascii="Calibri" w:hAnsi="Calibri"/>
          <w:b w:val="0"/>
          <w:i w:val="0"/>
          <w:color w:val="333333"/>
          <w:sz w:val="22"/>
        </w:rPr>
        <w:t>Producing quality courses is slow and expensive, making it hard to keep pace with organizational needs.</w:t>
      </w:r>
    </w:p>
    <w:p>
      <w:pPr>
        <w:pStyle w:val="ListBullet"/>
        <w:spacing w:after="80"/>
      </w:pPr>
      <w:r>
        <w:rPr>
          <w:rFonts w:ascii="Calibri" w:hAnsi="Calibri"/>
          <w:b/>
          <w:i w:val="0"/>
          <w:color w:val="333333"/>
          <w:sz w:val="22"/>
        </w:rPr>
        <w:t xml:space="preserve">Limited visibility. </w:t>
      </w:r>
      <w:r>
        <w:rPr>
          <w:rFonts w:ascii="Calibri" w:hAnsi="Calibri"/>
          <w:b w:val="0"/>
          <w:i w:val="0"/>
          <w:color w:val="333333"/>
          <w:sz w:val="22"/>
        </w:rPr>
        <w:t>Organizations lack insight into whether training actually changed behavior or improved performance.</w:t>
      </w:r>
    </w:p>
    <w:p>
      <w:pPr>
        <w:spacing w:after="200"/>
      </w:pPr>
      <w:r>
        <w:rPr>
          <w:rFonts w:ascii="Calibri" w:hAnsi="Calibri"/>
          <w:b w:val="0"/>
          <w:i w:val="0"/>
          <w:color w:val="333333"/>
          <w:sz w:val="22"/>
        </w:rPr>
        <w:t>These challenges are not inevitable. They are design problems—and design problems have design solutions.</w:t>
      </w:r>
    </w:p>
    <w:p>
      <w:pPr>
        <w:spacing w:before="120" w:after="120"/>
        <w:pBdr>
          <w:bottom w:val="single" w:sz="4" w:space="1" w:color="1a1a2e"/>
        </w:pBdr>
      </w:pPr>
    </w:p>
    <w:p>
      <w:pPr>
        <w:pStyle w:val="Heading1"/>
      </w:pPr>
      <w:r>
        <w:rPr>
          <w:rFonts w:ascii="Calibri" w:hAnsi="Calibri"/>
          <w:b/>
          <w:i w:val="0"/>
          <w:color w:val="1A1A2E"/>
          <w:sz w:val="44"/>
        </w:rPr>
        <w:t>Our Philosophy</w:t>
      </w:r>
    </w:p>
    <w:p>
      <w:pPr>
        <w:spacing w:after="120"/>
      </w:pPr>
      <w:r>
        <w:rPr>
          <w:rFonts w:ascii="Calibri" w:hAnsi="Calibri"/>
          <w:b w:val="0"/>
          <w:i w:val="0"/>
          <w:color w:val="333333"/>
          <w:sz w:val="22"/>
        </w:rPr>
        <w:t>We believe effective learning is built on four principles:</w:t>
      </w:r>
    </w:p>
    <w:p>
      <w:pPr>
        <w:pStyle w:val="ListBullet"/>
        <w:spacing w:after="80"/>
      </w:pPr>
      <w:r>
        <w:rPr>
          <w:rFonts w:ascii="Calibri" w:hAnsi="Calibri"/>
          <w:b/>
          <w:i w:val="0"/>
          <w:color w:val="333333"/>
          <w:sz w:val="22"/>
        </w:rPr>
        <w:t xml:space="preserve">Guided experience. </w:t>
      </w:r>
      <w:r>
        <w:rPr>
          <w:rFonts w:ascii="Calibri" w:hAnsi="Calibri"/>
          <w:b w:val="0"/>
          <w:i w:val="0"/>
          <w:color w:val="333333"/>
          <w:sz w:val="22"/>
        </w:rPr>
        <w:t>Learners are led through carefully structured journeys that build understanding progressively, not left to navigate walls of text.</w:t>
      </w:r>
    </w:p>
    <w:p>
      <w:pPr>
        <w:pStyle w:val="ListBullet"/>
        <w:spacing w:after="80"/>
      </w:pPr>
      <w:r>
        <w:rPr>
          <w:rFonts w:ascii="Calibri" w:hAnsi="Calibri"/>
          <w:b/>
          <w:i w:val="0"/>
          <w:color w:val="333333"/>
          <w:sz w:val="22"/>
        </w:rPr>
        <w:t xml:space="preserve">Exploration. </w:t>
      </w:r>
      <w:r>
        <w:rPr>
          <w:rFonts w:ascii="Calibri" w:hAnsi="Calibri"/>
          <w:b w:val="0"/>
          <w:i w:val="0"/>
          <w:color w:val="333333"/>
          <w:sz w:val="22"/>
        </w:rPr>
        <w:t>Meaningful interactivity—scenarios, branching decisions, reflective exercises—engages learners as active participants rather than passive recipients.</w:t>
      </w:r>
    </w:p>
    <w:p>
      <w:pPr>
        <w:pStyle w:val="ListBullet"/>
        <w:spacing w:after="80"/>
      </w:pPr>
      <w:r>
        <w:rPr>
          <w:rFonts w:ascii="Calibri" w:hAnsi="Calibri"/>
          <w:b/>
          <w:i w:val="0"/>
          <w:color w:val="333333"/>
          <w:sz w:val="22"/>
        </w:rPr>
        <w:t xml:space="preserve">Real-world application. </w:t>
      </w:r>
      <w:r>
        <w:rPr>
          <w:rFonts w:ascii="Calibri" w:hAnsi="Calibri"/>
          <w:b w:val="0"/>
          <w:i w:val="0"/>
          <w:color w:val="333333"/>
          <w:sz w:val="22"/>
        </w:rPr>
        <w:t>Every learning objective connects to practical, on-the-job outcomes. Theory without application is incomplete.</w:t>
      </w:r>
    </w:p>
    <w:p>
      <w:pPr>
        <w:pStyle w:val="ListBullet"/>
        <w:spacing w:after="80"/>
      </w:pPr>
      <w:r>
        <w:rPr>
          <w:rFonts w:ascii="Calibri" w:hAnsi="Calibri"/>
          <w:b/>
          <w:i w:val="0"/>
          <w:color w:val="333333"/>
          <w:sz w:val="22"/>
        </w:rPr>
        <w:t xml:space="preserve">Continuous improvement. </w:t>
      </w:r>
      <w:r>
        <w:rPr>
          <w:rFonts w:ascii="Calibri" w:hAnsi="Calibri"/>
          <w:b w:val="0"/>
          <w:i w:val="0"/>
          <w:color w:val="333333"/>
          <w:sz w:val="22"/>
        </w:rPr>
        <w:t>Analytics and feedback loops ensure courses improve over time, informed by real learner data rather than assumptions.</w:t>
      </w:r>
    </w:p>
    <w:p>
      <w:pPr>
        <w:spacing w:before="120" w:after="120"/>
        <w:pBdr>
          <w:bottom w:val="single" w:sz="4" w:space="1" w:color="1a1a2e"/>
        </w:pBdr>
      </w:pPr>
    </w:p>
    <w:p>
      <w:pPr>
        <w:pStyle w:val="Heading1"/>
      </w:pPr>
      <w:r>
        <w:rPr>
          <w:rFonts w:ascii="Calibri" w:hAnsi="Calibri"/>
          <w:b/>
          <w:i w:val="0"/>
          <w:color w:val="1A1A2E"/>
          <w:sz w:val="44"/>
        </w:rPr>
        <w:t>Our Differentiator: Instructional Design + UX Design</w:t>
      </w:r>
    </w:p>
    <w:p>
      <w:pPr>
        <w:spacing w:after="120"/>
      </w:pPr>
      <w:r>
        <w:rPr>
          <w:rFonts w:ascii="Calibri" w:hAnsi="Calibri"/>
          <w:b w:val="0"/>
          <w:i w:val="0"/>
          <w:color w:val="333333"/>
          <w:sz w:val="22"/>
        </w:rPr>
        <w:t>Most training providers focus on instructional design alone—structuring content, writing objectives, building assessments. That work is essential, but it is only half the equation.</w:t>
      </w:r>
    </w:p>
    <w:p>
      <w:pPr>
        <w:pStyle w:val="Heading2"/>
      </w:pPr>
      <w:r>
        <w:rPr>
          <w:rFonts w:ascii="Calibri" w:hAnsi="Calibri"/>
          <w:b/>
          <w:i w:val="0"/>
          <w:color w:val="1A1A2E"/>
          <w:sz w:val="32"/>
        </w:rPr>
        <w:t>Instructional Design</w:t>
      </w:r>
    </w:p>
    <w:p>
      <w:pPr>
        <w:spacing w:after="120"/>
      </w:pPr>
      <w:r>
        <w:rPr>
          <w:rFonts w:ascii="Calibri" w:hAnsi="Calibri"/>
          <w:b w:val="0"/>
          <w:i w:val="0"/>
          <w:color w:val="333333"/>
          <w:sz w:val="22"/>
        </w:rPr>
        <w:t>We apply proven instructional frameworks to ensure every course is pedagogically sound. Learning objectives are clearly defined, content is structured for progressive mastery, and assessments measure genuine understanding—not just recall.</w:t>
      </w:r>
    </w:p>
    <w:p>
      <w:pPr>
        <w:pStyle w:val="Heading2"/>
      </w:pPr>
      <w:r>
        <w:rPr>
          <w:rFonts w:ascii="Calibri" w:hAnsi="Calibri"/>
          <w:b/>
          <w:i w:val="0"/>
          <w:color w:val="1A1A2E"/>
          <w:sz w:val="32"/>
        </w:rPr>
        <w:t>Experience Design</w:t>
      </w:r>
    </w:p>
    <w:p>
      <w:pPr>
        <w:spacing w:after="120"/>
      </w:pPr>
      <w:r>
        <w:rPr>
          <w:rFonts w:ascii="Calibri" w:hAnsi="Calibri"/>
          <w:b w:val="0"/>
          <w:i w:val="0"/>
          <w:color w:val="333333"/>
          <w:sz w:val="22"/>
        </w:rPr>
        <w:t>We then layer experience design on top—the visual, emotional, and interactive dimensions that determine whether learners actually engage. This is the Design X Factor methodology: instructional rigor combined with exceptional design to create learning that is both effective and compelling.</w:t>
      </w:r>
    </w:p>
    <w:p>
      <w:pPr>
        <w:spacing w:after="120"/>
      </w:pPr>
      <w:r>
        <w:rPr>
          <w:rFonts w:ascii="Calibri" w:hAnsi="Calibri"/>
          <w:b w:val="0"/>
          <w:i w:val="0"/>
          <w:color w:val="333333"/>
          <w:sz w:val="22"/>
        </w:rPr>
        <w:t>Every course goes through a dedicated Experience Design phase before any content is produced. During this phase, we define the visual identity, emotional arcs, journey metaphors, and persona-driven content strategies that will shape the final course. Typography, color palettes, imagery style, interaction patterns, and narrative tone are all established to create a cohesive experience—not an afterthought applied to finished slides.</w:t>
      </w:r>
    </w:p>
    <w:p>
      <w:pPr>
        <w:spacing w:after="120"/>
      </w:pPr>
      <w:r>
        <w:rPr>
          <w:rFonts w:ascii="Calibri" w:hAnsi="Calibri"/>
          <w:b w:val="0"/>
          <w:i w:val="0"/>
          <w:color w:val="333333"/>
          <w:sz w:val="22"/>
        </w:rPr>
        <w:t xml:space="preserve">This front-loaded design process is what separates </w:t>
      </w:r>
      <w:r>
        <w:rPr>
          <w:rFonts w:ascii="Calibri" w:hAnsi="Calibri"/>
          <w:b w:val="0"/>
          <w:i/>
          <w:color w:val="333333"/>
          <w:sz w:val="22"/>
        </w:rPr>
        <w:t>functional</w:t>
      </w:r>
      <w:r>
        <w:rPr>
          <w:rFonts w:ascii="Calibri" w:hAnsi="Calibri"/>
          <w:b w:val="0"/>
          <w:i w:val="0"/>
          <w:color w:val="333333"/>
          <w:sz w:val="22"/>
        </w:rPr>
        <w:t xml:space="preserve"> training from </w:t>
      </w:r>
      <w:r>
        <w:rPr>
          <w:rFonts w:ascii="Calibri" w:hAnsi="Calibri"/>
          <w:b w:val="0"/>
          <w:i/>
          <w:color w:val="333333"/>
          <w:sz w:val="22"/>
        </w:rPr>
        <w:t>memorable</w:t>
      </w:r>
      <w:r>
        <w:rPr>
          <w:rFonts w:ascii="Calibri" w:hAnsi="Calibri"/>
          <w:b w:val="0"/>
          <w:i w:val="0"/>
          <w:color w:val="333333"/>
          <w:sz w:val="22"/>
        </w:rPr>
        <w:t xml:space="preserve"> training.</w:t>
      </w:r>
    </w:p>
    <w:p>
      <w:pPr>
        <w:spacing w:before="120" w:after="120"/>
        <w:pBdr>
          <w:bottom w:val="single" w:sz="4" w:space="1" w:color="1a1a2e"/>
        </w:pBdr>
      </w:pPr>
    </w:p>
    <w:p>
      <w:pPr>
        <w:pStyle w:val="Heading1"/>
      </w:pPr>
      <w:r>
        <w:rPr>
          <w:rFonts w:ascii="Calibri" w:hAnsi="Calibri"/>
          <w:b/>
          <w:i w:val="0"/>
          <w:color w:val="1A1A2E"/>
          <w:sz w:val="44"/>
        </w:rPr>
        <w:t>Core Services</w:t>
      </w:r>
    </w:p>
    <w:p>
      <w:pPr>
        <w:spacing w:after="120"/>
      </w:pPr>
      <w:r>
        <w:rPr>
          <w:rFonts w:ascii="Calibri" w:hAnsi="Calibri"/>
          <w:b w:val="0"/>
          <w:i w:val="0"/>
          <w:color w:val="333333"/>
          <w:sz w:val="22"/>
        </w:rPr>
        <w:t>Our offerings are organized around five pillars, each reinforcing the others:</w:t>
      </w:r>
    </w:p>
    <w:p>
      <w:pPr>
        <w:pStyle w:val="Heading3"/>
      </w:pPr>
      <w:r>
        <w:rPr>
          <w:rFonts w:ascii="Calibri" w:hAnsi="Calibri"/>
          <w:b/>
          <w:i w:val="0"/>
          <w:color w:val="1A1A2E"/>
          <w:sz w:val="26"/>
        </w:rPr>
        <w:t>Personalized Learning</w:t>
      </w:r>
    </w:p>
    <w:p>
      <w:pPr>
        <w:spacing w:after="120"/>
      </w:pPr>
      <w:r>
        <w:rPr>
          <w:rFonts w:ascii="Calibri" w:hAnsi="Calibri"/>
          <w:b w:val="0"/>
          <w:i w:val="0"/>
          <w:color w:val="333333"/>
          <w:sz w:val="22"/>
        </w:rPr>
        <w:t>Adaptive learning paths that respond to individual progress, prior knowledge, and role context. Rather than delivering identical content to every learner, we design courses that adjust to meet people where they are.</w:t>
      </w:r>
    </w:p>
    <w:p>
      <w:pPr>
        <w:pStyle w:val="Heading3"/>
      </w:pPr>
      <w:r>
        <w:rPr>
          <w:rFonts w:ascii="Calibri" w:hAnsi="Calibri"/>
          <w:b/>
          <w:i w:val="0"/>
          <w:color w:val="1A1A2E"/>
          <w:sz w:val="26"/>
        </w:rPr>
        <w:t>AI-Enhanced Content</w:t>
      </w:r>
    </w:p>
    <w:p>
      <w:pPr>
        <w:spacing w:after="120"/>
      </w:pPr>
      <w:r>
        <w:rPr>
          <w:rFonts w:ascii="Calibri" w:hAnsi="Calibri"/>
          <w:b w:val="0"/>
          <w:i w:val="0"/>
          <w:color w:val="333333"/>
          <w:sz w:val="22"/>
        </w:rPr>
        <w:t>AI-powered content generation, media production, and quality assurance—accelerating development without sacrificing quality. Our platform generates images, audio narration, video scenes, and interactive elements under human-guided quality controls.</w:t>
      </w:r>
    </w:p>
    <w:p>
      <w:pPr>
        <w:pStyle w:val="Heading3"/>
      </w:pPr>
      <w:r>
        <w:rPr>
          <w:rFonts w:ascii="Calibri" w:hAnsi="Calibri"/>
          <w:b/>
          <w:i w:val="0"/>
          <w:color w:val="1A1A2E"/>
          <w:sz w:val="26"/>
        </w:rPr>
        <w:t>Learning Experience Design</w:t>
      </w:r>
    </w:p>
    <w:p>
      <w:pPr>
        <w:spacing w:after="120"/>
      </w:pPr>
      <w:r>
        <w:rPr>
          <w:rFonts w:ascii="Calibri" w:hAnsi="Calibri"/>
          <w:b w:val="0"/>
          <w:i w:val="0"/>
          <w:color w:val="333333"/>
          <w:sz w:val="22"/>
        </w:rPr>
        <w:t>End-to-end design of the learner journey, from visual identity and emotional arc to navigation flow and interaction design. We treat every course as a product, not a document—applying UX principles that learners experience but rarely notice.</w:t>
      </w:r>
    </w:p>
    <w:p>
      <w:pPr>
        <w:pStyle w:val="Heading3"/>
      </w:pPr>
      <w:r>
        <w:rPr>
          <w:rFonts w:ascii="Calibri" w:hAnsi="Calibri"/>
          <w:b/>
          <w:i w:val="0"/>
          <w:color w:val="1A1A2E"/>
          <w:sz w:val="26"/>
        </w:rPr>
        <w:t>Corporate Training Solutions</w:t>
      </w:r>
    </w:p>
    <w:p>
      <w:pPr>
        <w:spacing w:after="120"/>
      </w:pPr>
      <w:r>
        <w:rPr>
          <w:rFonts w:ascii="Calibri" w:hAnsi="Calibri"/>
          <w:b w:val="0"/>
          <w:i w:val="0"/>
          <w:color w:val="333333"/>
          <w:sz w:val="22"/>
        </w:rPr>
        <w:t>Compliance, onboarding, leadership development, technical skills—delivered as engaging learning experiences rather than checkbox exercises. We work across industries to make mandatory training genuinely useful.</w:t>
      </w:r>
    </w:p>
    <w:p>
      <w:pPr>
        <w:pStyle w:val="Heading3"/>
      </w:pPr>
      <w:r>
        <w:rPr>
          <w:rFonts w:ascii="Calibri" w:hAnsi="Calibri"/>
          <w:b/>
          <w:i w:val="0"/>
          <w:color w:val="1A1A2E"/>
          <w:sz w:val="26"/>
        </w:rPr>
        <w:t>Learning Analytics</w:t>
      </w:r>
    </w:p>
    <w:p>
      <w:pPr>
        <w:spacing w:after="120"/>
      </w:pPr>
      <w:r>
        <w:rPr>
          <w:rFonts w:ascii="Calibri" w:hAnsi="Calibri"/>
          <w:b w:val="0"/>
          <w:i w:val="0"/>
          <w:color w:val="333333"/>
          <w:sz w:val="22"/>
        </w:rPr>
        <w:t>Dashboards and reporting that go beyond completion rates to surface engagement patterns, knowledge gaps, and behavioral indicators. Data informs both learner support and course improvement.</w:t>
      </w:r>
    </w:p>
    <w:p>
      <w:pPr>
        <w:spacing w:before="120" w:after="120"/>
        <w:pBdr>
          <w:bottom w:val="single" w:sz="4" w:space="1" w:color="1a1a2e"/>
        </w:pBdr>
      </w:pPr>
    </w:p>
    <w:p>
      <w:pPr>
        <w:pStyle w:val="Heading1"/>
      </w:pPr>
      <w:r>
        <w:rPr>
          <w:rFonts w:ascii="Calibri" w:hAnsi="Calibri"/>
          <w:b/>
          <w:i w:val="0"/>
          <w:color w:val="1A1A2E"/>
          <w:sz w:val="44"/>
        </w:rPr>
        <w:t>The Role of AI</w:t>
      </w:r>
    </w:p>
    <w:p>
      <w:pPr>
        <w:spacing w:after="120"/>
      </w:pPr>
      <w:r>
        <w:rPr>
          <w:rFonts w:ascii="Calibri" w:hAnsi="Calibri"/>
          <w:b w:val="0"/>
          <w:i w:val="0"/>
          <w:color w:val="333333"/>
          <w:sz w:val="22"/>
        </w:rPr>
        <w:t>AI is central to how we work, but it is a tool in service of design—not a replacement for it. We use AI to:</w:t>
      </w:r>
    </w:p>
    <w:p>
      <w:pPr>
        <w:pStyle w:val="ListBullet"/>
        <w:spacing w:after="80"/>
      </w:pPr>
      <w:r>
        <w:rPr>
          <w:rFonts w:ascii="Calibri" w:hAnsi="Calibri"/>
          <w:b/>
          <w:i w:val="0"/>
          <w:color w:val="333333"/>
          <w:sz w:val="22"/>
        </w:rPr>
        <w:t xml:space="preserve">Accelerate content development </w:t>
      </w:r>
      <w:r>
        <w:rPr>
          <w:rFonts w:ascii="Calibri" w:hAnsi="Calibri"/>
          <w:b w:val="0"/>
          <w:i w:val="0"/>
          <w:color w:val="333333"/>
          <w:sz w:val="22"/>
        </w:rPr>
        <w:t>— transforming source materials into structured learning content in a fraction of traditional timelines.</w:t>
      </w:r>
    </w:p>
    <w:p>
      <w:pPr>
        <w:pStyle w:val="ListBullet"/>
        <w:spacing w:after="80"/>
      </w:pPr>
      <w:r>
        <w:rPr>
          <w:rFonts w:ascii="Calibri" w:hAnsi="Calibri"/>
          <w:b/>
          <w:i w:val="0"/>
          <w:color w:val="333333"/>
          <w:sz w:val="22"/>
        </w:rPr>
        <w:t xml:space="preserve">Generate purpose-built media </w:t>
      </w:r>
      <w:r>
        <w:rPr>
          <w:rFonts w:ascii="Calibri" w:hAnsi="Calibri"/>
          <w:b w:val="0"/>
          <w:i w:val="0"/>
          <w:color w:val="333333"/>
          <w:sz w:val="22"/>
        </w:rPr>
        <w:t>— custom images, narrated audio, and video scenes created specifically for each course, eliminating reliance on generic stock assets.</w:t>
      </w:r>
    </w:p>
    <w:p>
      <w:pPr>
        <w:pStyle w:val="ListBullet"/>
        <w:spacing w:after="80"/>
      </w:pPr>
      <w:r>
        <w:rPr>
          <w:rFonts w:ascii="Calibri" w:hAnsi="Calibri"/>
          <w:b/>
          <w:i w:val="0"/>
          <w:color w:val="333333"/>
          <w:sz w:val="22"/>
        </w:rPr>
        <w:t xml:space="preserve">Enforce quality standards </w:t>
      </w:r>
      <w:r>
        <w:rPr>
          <w:rFonts w:ascii="Calibri" w:hAnsi="Calibri"/>
          <w:b w:val="0"/>
          <w:i w:val="0"/>
          <w:color w:val="333333"/>
          <w:sz w:val="22"/>
        </w:rPr>
        <w:t>— automated checks at every production phase ensure accessibility, consistency, and instructional alignment before human review.</w:t>
      </w:r>
    </w:p>
    <w:p>
      <w:pPr>
        <w:pStyle w:val="ListBullet"/>
        <w:spacing w:after="80"/>
      </w:pPr>
      <w:r>
        <w:rPr>
          <w:rFonts w:ascii="Calibri" w:hAnsi="Calibri"/>
          <w:b/>
          <w:i w:val="0"/>
          <w:color w:val="333333"/>
          <w:sz w:val="22"/>
        </w:rPr>
        <w:t xml:space="preserve">Enable rapid iteration </w:t>
      </w:r>
      <w:r>
        <w:rPr>
          <w:rFonts w:ascii="Calibri" w:hAnsi="Calibri"/>
          <w:b w:val="0"/>
          <w:i w:val="0"/>
          <w:color w:val="333333"/>
          <w:sz w:val="22"/>
        </w:rPr>
        <w:t>— changes that once required weeks of rework can be implemented and validated in hours.</w:t>
      </w:r>
    </w:p>
    <w:p>
      <w:pPr>
        <w:spacing w:after="200"/>
      </w:pPr>
      <w:r>
        <w:rPr>
          <w:rFonts w:ascii="Calibri" w:hAnsi="Calibri"/>
          <w:b w:val="0"/>
          <w:i w:val="0"/>
          <w:color w:val="333333"/>
          <w:sz w:val="22"/>
        </w:rPr>
        <w:t>Every AI-generated element passes through human-guided quality gates. The result is production speed measured in weeks rather than months—from source content ingestion to final SCORM-packaged course—without compromising the instructional or design standards our clients expect.</w:t>
      </w:r>
    </w:p>
    <w:p>
      <w:pPr>
        <w:spacing w:before="120" w:after="120"/>
        <w:pBdr>
          <w:bottom w:val="single" w:sz="4" w:space="1" w:color="1a1a2e"/>
        </w:pBdr>
      </w:pPr>
    </w:p>
    <w:p>
      <w:pPr>
        <w:pStyle w:val="Heading1"/>
      </w:pPr>
      <w:r>
        <w:rPr>
          <w:rFonts w:ascii="Calibri" w:hAnsi="Calibri"/>
          <w:b/>
          <w:i w:val="0"/>
          <w:color w:val="1A1A2E"/>
          <w:sz w:val="44"/>
        </w:rPr>
        <w:t>Our Platform: CourseFuture</w:t>
      </w:r>
    </w:p>
    <w:p>
      <w:pPr>
        <w:spacing w:after="120"/>
      </w:pPr>
      <w:r>
        <w:rPr>
          <w:rFonts w:ascii="Calibri" w:hAnsi="Calibri"/>
          <w:b w:val="0"/>
          <w:i w:val="0"/>
          <w:color w:val="333333"/>
          <w:sz w:val="22"/>
        </w:rPr>
        <w:t>We do not just design courses—we engineered the system that produces them. CourseFuture is our end-to-end, AI-powered production platform built to deliver consistent, high-quality learning experiences at scale. The platform orchestrates an automated five-phase pipeline: source content ingestion, blueprint and experience design, content generation, media production, and final SCORM packaging. Every phase includes automated quality gates that enforce WCAG 2.1 AA accessibility compliance, instructional alignment, and design consistency before work advances. Clients review blueprints, content, and media through our dedicated review platform at reviewer.designxfactor.com—providing transparent approval checkpoints throughout production.</w:t>
      </w:r>
    </w:p>
    <w:p>
      <w:pPr>
        <w:spacing w:after="120"/>
      </w:pPr>
      <w:r>
        <w:rPr>
          <w:rFonts w:ascii="Calibri" w:hAnsi="Calibri"/>
          <w:b w:val="0"/>
          <w:i w:val="0"/>
          <w:color w:val="333333"/>
          <w:sz w:val="22"/>
        </w:rPr>
        <w:t>Built on modern cloud infrastructure with AI from leading providers, the platform handles content generation, media production, quality assurance, and delivery packaging—all orchestrated through a structured pipeline that ensures consistency and quality at scale. This is what enables us to deliver complete courses in weeks, not months, while maintaining the instructional rigor and design quality that define our work.</w:t>
      </w:r>
    </w:p>
    <w:p>
      <w:pPr>
        <w:spacing w:before="120" w:after="120"/>
        <w:pBdr>
          <w:bottom w:val="single" w:sz="4" w:space="1" w:color="1a1a2e"/>
        </w:pBdr>
      </w:pPr>
    </w:p>
    <w:p>
      <w:pPr>
        <w:pStyle w:val="Heading1"/>
      </w:pPr>
      <w:r>
        <w:rPr>
          <w:rFonts w:ascii="Calibri" w:hAnsi="Calibri"/>
          <w:b/>
          <w:i w:val="0"/>
          <w:color w:val="1A1A2E"/>
          <w:sz w:val="44"/>
        </w:rPr>
        <w:t>Our Value Proposition</w:t>
      </w:r>
    </w:p>
    <w:p>
      <w:pPr>
        <w:pStyle w:val="Heading2"/>
      </w:pPr>
      <w:r>
        <w:rPr>
          <w:rFonts w:ascii="Calibri" w:hAnsi="Calibri"/>
          <w:b/>
          <w:i w:val="0"/>
          <w:color w:val="1A1A2E"/>
          <w:sz w:val="32"/>
        </w:rPr>
        <w:t>For Learners</w:t>
      </w:r>
    </w:p>
    <w:p>
      <w:pPr>
        <w:pStyle w:val="ListBullet"/>
        <w:spacing w:after="80"/>
      </w:pPr>
      <w:r>
        <w:rPr>
          <w:rFonts w:ascii="Calibri" w:hAnsi="Calibri"/>
          <w:b w:val="0"/>
          <w:i w:val="0"/>
          <w:color w:val="333333"/>
          <w:sz w:val="22"/>
        </w:rPr>
        <w:t>Engaging, well-designed courses that respect their time and intelligence.</w:t>
      </w:r>
    </w:p>
    <w:p>
      <w:pPr>
        <w:pStyle w:val="ListBullet"/>
        <w:spacing w:after="80"/>
      </w:pPr>
      <w:r>
        <w:rPr>
          <w:rFonts w:ascii="Calibri" w:hAnsi="Calibri"/>
          <w:b w:val="0"/>
          <w:i w:val="0"/>
          <w:color w:val="333333"/>
          <w:sz w:val="22"/>
        </w:rPr>
        <w:t>Content that adapts to their role, experience level, and learning pace.</w:t>
      </w:r>
    </w:p>
    <w:p>
      <w:pPr>
        <w:pStyle w:val="ListBullet"/>
        <w:spacing w:after="80"/>
      </w:pPr>
      <w:r>
        <w:rPr>
          <w:rFonts w:ascii="Calibri" w:hAnsi="Calibri"/>
          <w:b w:val="0"/>
          <w:i w:val="0"/>
          <w:color w:val="333333"/>
          <w:sz w:val="22"/>
        </w:rPr>
        <w:t>Interactive elements that build real understanding, not just page views.</w:t>
      </w:r>
    </w:p>
    <w:p>
      <w:pPr>
        <w:pStyle w:val="ListBullet"/>
        <w:spacing w:after="80"/>
      </w:pPr>
      <w:r>
        <w:rPr>
          <w:rFonts w:ascii="Calibri" w:hAnsi="Calibri"/>
          <w:b w:val="0"/>
          <w:i w:val="0"/>
          <w:color w:val="333333"/>
          <w:sz w:val="22"/>
        </w:rPr>
        <w:t>Accessible design that works for all learners, on any device.</w:t>
      </w:r>
    </w:p>
    <w:p>
      <w:pPr>
        <w:pStyle w:val="Heading2"/>
      </w:pPr>
      <w:r>
        <w:rPr>
          <w:rFonts w:ascii="Calibri" w:hAnsi="Calibri"/>
          <w:b/>
          <w:i w:val="0"/>
          <w:color w:val="1A1A2E"/>
          <w:sz w:val="32"/>
        </w:rPr>
        <w:t>For Organizations</w:t>
      </w:r>
    </w:p>
    <w:p>
      <w:pPr>
        <w:pStyle w:val="ListBullet"/>
        <w:spacing w:after="80"/>
      </w:pPr>
      <w:r>
        <w:rPr>
          <w:rFonts w:ascii="Calibri" w:hAnsi="Calibri"/>
          <w:b w:val="0"/>
          <w:i w:val="0"/>
          <w:color w:val="333333"/>
          <w:sz w:val="22"/>
        </w:rPr>
        <w:t>Faster time-to-delivery through AI-powered production and automated pipelines.</w:t>
      </w:r>
    </w:p>
    <w:p>
      <w:pPr>
        <w:pStyle w:val="ListBullet"/>
        <w:spacing w:after="80"/>
      </w:pPr>
      <w:r>
        <w:rPr>
          <w:rFonts w:ascii="Calibri" w:hAnsi="Calibri"/>
          <w:b w:val="0"/>
          <w:i w:val="0"/>
          <w:color w:val="333333"/>
          <w:sz w:val="22"/>
        </w:rPr>
        <w:t>Lower development costs per course without sacrificing quality.</w:t>
      </w:r>
    </w:p>
    <w:p>
      <w:pPr>
        <w:pStyle w:val="ListBullet"/>
        <w:spacing w:after="80"/>
      </w:pPr>
      <w:r>
        <w:rPr>
          <w:rFonts w:ascii="Calibri" w:hAnsi="Calibri"/>
          <w:b w:val="0"/>
          <w:i w:val="0"/>
          <w:color w:val="333333"/>
          <w:sz w:val="22"/>
        </w:rPr>
        <w:t>Measurable learning outcomes tied to business objectives.</w:t>
      </w:r>
    </w:p>
    <w:p>
      <w:pPr>
        <w:pStyle w:val="ListBullet"/>
        <w:spacing w:after="80"/>
      </w:pPr>
      <w:r>
        <w:rPr>
          <w:rFonts w:ascii="Calibri" w:hAnsi="Calibri"/>
          <w:b w:val="0"/>
          <w:i w:val="0"/>
          <w:color w:val="333333"/>
          <w:sz w:val="22"/>
        </w:rPr>
        <w:t>Scalable production capacity that grows with organizational needs.</w:t>
      </w:r>
    </w:p>
    <w:p>
      <w:pPr>
        <w:pStyle w:val="ListBullet"/>
        <w:spacing w:after="80"/>
      </w:pPr>
      <w:r>
        <w:rPr>
          <w:rFonts w:ascii="Calibri" w:hAnsi="Calibri"/>
          <w:b w:val="0"/>
          <w:i w:val="0"/>
          <w:color w:val="333333"/>
          <w:sz w:val="22"/>
        </w:rPr>
        <w:t>Full transparency through client review portals at every production stage.</w:t>
      </w:r>
    </w:p>
    <w:p>
      <w:pPr>
        <w:pStyle w:val="ListBullet"/>
        <w:spacing w:after="80"/>
      </w:pPr>
      <w:r>
        <w:rPr>
          <w:rFonts w:ascii="Calibri" w:hAnsi="Calibri"/>
          <w:b w:val="0"/>
          <w:i w:val="0"/>
          <w:color w:val="333333"/>
          <w:sz w:val="22"/>
        </w:rPr>
        <w:t>WCAG 2.1 AA compliance built into every deliverable.</w:t>
      </w:r>
    </w:p>
    <w:p>
      <w:pPr>
        <w:spacing w:before="120" w:after="120"/>
        <w:pBdr>
          <w:bottom w:val="single" w:sz="4" w:space="1" w:color="1a1a2e"/>
        </w:pBdr>
      </w:pPr>
    </w:p>
    <w:p>
      <w:pPr>
        <w:pStyle w:val="Heading1"/>
      </w:pPr>
      <w:r>
        <w:rPr>
          <w:rFonts w:ascii="Calibri" w:hAnsi="Calibri"/>
          <w:b/>
          <w:i w:val="0"/>
          <w:color w:val="1A1A2E"/>
          <w:sz w:val="44"/>
        </w:rPr>
        <w:t>How We Partner with Clients</w:t>
      </w:r>
    </w:p>
    <w:p>
      <w:pPr>
        <w:spacing w:after="120"/>
      </w:pPr>
      <w:r>
        <w:rPr>
          <w:rFonts w:ascii="Calibri" w:hAnsi="Calibri"/>
          <w:b w:val="0"/>
          <w:i w:val="0"/>
          <w:color w:val="333333"/>
          <w:sz w:val="22"/>
        </w:rPr>
        <w:t>Our engagement model is structured, collaborative, and transparent:</w:t>
      </w:r>
    </w:p>
    <w:tbl>
      <w:tblPr>
        <w:tblStyle w:val="LightGrid-Accent1"/>
        <w:tblW w:type="auto" w:w="0"/>
        <w:jc w:val="center"/>
        <w:tblLook w:firstColumn="1" w:firstRow="1" w:lastColumn="0" w:lastRow="0" w:noHBand="0" w:noVBand="1" w:val="04A0"/>
      </w:tblPr>
      <w:tblGrid>
        <w:gridCol w:w="4680"/>
        <w:gridCol w:w="4680"/>
      </w:tblGrid>
      <w:tr>
        <w:tc>
          <w:tcPr>
            <w:tcW w:type="dxa" w:w="1872"/>
          </w:tcPr>
          <w:p>
            <w:r/>
            <w:r>
              <w:rPr>
                <w:rFonts w:ascii="Calibri" w:hAnsi="Calibri"/>
                <w:b/>
                <w:i w:val="0"/>
                <w:color w:val="1A1A2E"/>
                <w:sz w:val="22"/>
              </w:rPr>
              <w:t>Phase</w:t>
            </w:r>
          </w:p>
        </w:tc>
        <w:tc>
          <w:tcPr>
            <w:tcW w:type="dxa" w:w="7488"/>
          </w:tcPr>
          <w:p>
            <w:r/>
            <w:r>
              <w:rPr>
                <w:rFonts w:ascii="Calibri" w:hAnsi="Calibri"/>
                <w:b/>
                <w:i w:val="0"/>
                <w:color w:val="1A1A2E"/>
                <w:sz w:val="22"/>
              </w:rPr>
              <w:t>Description</w:t>
            </w:r>
          </w:p>
        </w:tc>
      </w:tr>
      <w:tr>
        <w:tc>
          <w:tcPr>
            <w:tcW w:type="dxa" w:w="1872"/>
          </w:tcPr>
          <w:p>
            <w:r/>
            <w:r>
              <w:rPr>
                <w:rFonts w:ascii="Calibri" w:hAnsi="Calibri"/>
                <w:b/>
                <w:i w:val="0"/>
                <w:color w:val="333333"/>
                <w:sz w:val="22"/>
              </w:rPr>
              <w:t>Discovery</w:t>
            </w:r>
          </w:p>
        </w:tc>
        <w:tc>
          <w:tcPr>
            <w:tcW w:type="dxa" w:w="7488"/>
          </w:tcPr>
          <w:p>
            <w:r/>
            <w:r>
              <w:rPr>
                <w:rFonts w:ascii="Calibri" w:hAnsi="Calibri"/>
                <w:b w:val="0"/>
                <w:i w:val="0"/>
                <w:color w:val="333333"/>
                <w:sz w:val="20"/>
              </w:rPr>
              <w:t>We learn your organization, audience, objectives, and constraints. Source content is ingested and analyzed. Success criteria are defined together.</w:t>
            </w:r>
          </w:p>
        </w:tc>
      </w:tr>
      <w:tr>
        <w:tc>
          <w:tcPr>
            <w:tcW w:type="dxa" w:w="1872"/>
          </w:tcPr>
          <w:p>
            <w:r/>
            <w:r>
              <w:rPr>
                <w:rFonts w:ascii="Calibri" w:hAnsi="Calibri"/>
                <w:b/>
                <w:i w:val="0"/>
                <w:color w:val="333333"/>
                <w:sz w:val="22"/>
              </w:rPr>
              <w:t>Design</w:t>
            </w:r>
          </w:p>
        </w:tc>
        <w:tc>
          <w:tcPr>
            <w:tcW w:type="dxa" w:w="7488"/>
          </w:tcPr>
          <w:p>
            <w:r/>
            <w:r>
              <w:rPr>
                <w:rFonts w:ascii="Calibri" w:hAnsi="Calibri"/>
                <w:b w:val="0"/>
                <w:i w:val="0"/>
                <w:color w:val="333333"/>
                <w:sz w:val="20"/>
              </w:rPr>
              <w:t>Blueprints, experience design, and content strategies are developed and reviewed through our client portal. Visual identity, journey metaphors, and persona-driven approaches are established before production begins.</w:t>
            </w:r>
          </w:p>
        </w:tc>
      </w:tr>
      <w:tr>
        <w:tc>
          <w:tcPr>
            <w:tcW w:type="dxa" w:w="1872"/>
          </w:tcPr>
          <w:p>
            <w:r/>
            <w:r>
              <w:rPr>
                <w:rFonts w:ascii="Calibri" w:hAnsi="Calibri"/>
                <w:b/>
                <w:i w:val="0"/>
                <w:color w:val="333333"/>
                <w:sz w:val="22"/>
              </w:rPr>
              <w:t>Build</w:t>
            </w:r>
          </w:p>
        </w:tc>
        <w:tc>
          <w:tcPr>
            <w:tcW w:type="dxa" w:w="7488"/>
          </w:tcPr>
          <w:p>
            <w:r/>
            <w:r>
              <w:rPr>
                <w:rFonts w:ascii="Calibri" w:hAnsi="Calibri"/>
                <w:b w:val="0"/>
                <w:i w:val="0"/>
                <w:color w:val="333333"/>
                <w:sz w:val="20"/>
              </w:rPr>
              <w:t>Content, media, and interactions are produced through our CourseFuture platform with quality gates at every stage. Clients review and approve deliverables at defined checkpoints.</w:t>
            </w:r>
          </w:p>
        </w:tc>
      </w:tr>
      <w:tr>
        <w:tc>
          <w:tcPr>
            <w:tcW w:type="dxa" w:w="1872"/>
          </w:tcPr>
          <w:p>
            <w:r/>
            <w:r>
              <w:rPr>
                <w:rFonts w:ascii="Calibri" w:hAnsi="Calibri"/>
                <w:b/>
                <w:i w:val="0"/>
                <w:color w:val="333333"/>
                <w:sz w:val="22"/>
              </w:rPr>
              <w:t>Measure</w:t>
            </w:r>
          </w:p>
        </w:tc>
        <w:tc>
          <w:tcPr>
            <w:tcW w:type="dxa" w:w="7488"/>
          </w:tcPr>
          <w:p>
            <w:r/>
            <w:r>
              <w:rPr>
                <w:rFonts w:ascii="Calibri" w:hAnsi="Calibri"/>
                <w:b w:val="0"/>
                <w:i w:val="0"/>
                <w:color w:val="333333"/>
                <w:sz w:val="20"/>
              </w:rPr>
              <w:t>Post-launch analytics track learner engagement, knowledge acquisition, and behavioral indicators. Insights feed back into course refinement and future development.</w:t>
            </w:r>
          </w:p>
        </w:tc>
      </w:tr>
    </w:tbl>
    <w:p/>
    <w:p>
      <w:pPr>
        <w:spacing w:before="120" w:after="120"/>
        <w:pBdr>
          <w:bottom w:val="single" w:sz="4" w:space="1" w:color="1a1a2e"/>
        </w:pBdr>
      </w:pPr>
    </w:p>
    <w:p>
      <w:pPr>
        <w:pStyle w:val="Heading1"/>
      </w:pPr>
      <w:r>
        <w:rPr>
          <w:rFonts w:ascii="Calibri" w:hAnsi="Calibri"/>
          <w:b/>
          <w:i w:val="0"/>
          <w:color w:val="1A1A2E"/>
          <w:sz w:val="44"/>
        </w:rPr>
        <w:t>Next Steps</w:t>
      </w:r>
    </w:p>
    <w:p>
      <w:pPr>
        <w:spacing w:after="120"/>
      </w:pPr>
      <w:r>
        <w:rPr>
          <w:rFonts w:ascii="Calibri" w:hAnsi="Calibri"/>
          <w:b w:val="0"/>
          <w:i w:val="0"/>
          <w:color w:val="333333"/>
          <w:sz w:val="22"/>
        </w:rPr>
        <w:t>We would welcome the opportunity to discuss how Design X Factor can support your learning and training objectives. Whether you have existing content that needs transformation or are starting from scratch, our team and platform are ready to help.</w:t>
      </w:r>
    </w:p>
    <w:p>
      <w:pPr>
        <w:spacing w:after="80"/>
      </w:pPr>
      <w:r>
        <w:rPr>
          <w:rFonts w:ascii="Calibri" w:hAnsi="Calibri"/>
          <w:b/>
          <w:i w:val="0"/>
          <w:color w:val="333333"/>
          <w:sz w:val="22"/>
        </w:rPr>
        <w:t>To begin a conversation:</w:t>
      </w:r>
    </w:p>
    <w:p>
      <w:pPr>
        <w:pStyle w:val="ListBullet"/>
        <w:spacing w:after="80"/>
      </w:pPr>
      <w:r>
        <w:rPr>
          <w:rFonts w:ascii="Calibri" w:hAnsi="Calibri"/>
          <w:b w:val="0"/>
          <w:i w:val="0"/>
          <w:color w:val="333333"/>
          <w:sz w:val="22"/>
        </w:rPr>
        <w:t>Visit us at designxfactor.com</w:t>
      </w:r>
    </w:p>
    <w:p>
      <w:pPr>
        <w:pStyle w:val="ListBullet"/>
        <w:spacing w:after="80"/>
      </w:pPr>
      <w:r>
        <w:rPr>
          <w:rFonts w:ascii="Calibri" w:hAnsi="Calibri"/>
          <w:b w:val="0"/>
          <w:i w:val="0"/>
          <w:color w:val="333333"/>
          <w:sz w:val="22"/>
        </w:rPr>
        <w:t>Request a demo of our CourseFuture platform and client review portal</w:t>
      </w:r>
    </w:p>
    <w:p>
      <w:pPr>
        <w:pStyle w:val="ListBullet"/>
        <w:spacing w:after="80"/>
      </w:pPr>
      <w:r>
        <w:rPr>
          <w:rFonts w:ascii="Calibri" w:hAnsi="Calibri"/>
          <w:b w:val="0"/>
          <w:i w:val="0"/>
          <w:color w:val="333333"/>
          <w:sz w:val="22"/>
        </w:rPr>
        <w:t>Share your source content for a complimentary assessment and scope estimate</w:t>
      </w:r>
    </w:p>
    <w:p/>
    <w:p>
      <w:pPr>
        <w:spacing w:after="120"/>
        <w:jc w:val="center"/>
      </w:pPr>
      <w:r>
        <w:rPr>
          <w:rFonts w:ascii="Calibri" w:hAnsi="Calibri"/>
          <w:b w:val="0"/>
          <w:i/>
          <w:color w:val="2B547E"/>
          <w:sz w:val="20"/>
        </w:rPr>
        <w:t>Design X Factor — Where Instructional Rigor Meets Exceptional Design</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