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DA2" w:rsidRPr="00D966CA" w:rsidRDefault="003A1DA2" w:rsidP="003A1DA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التجارة الإلكترونية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لأغراض تطبيق أحكام هذا النظام، يقصد بالكلمات والعبارات الآتية -أينما وردت في النظام- المعاني المبينة أمام كل منها، ما لم يقتضِ السياق غير ذلك:</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نظام التجارة الإلكترونية.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وزارة التجارة والاستثمار.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وزير التجارة والاستثمار.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التجارة الإلكترونية</w:t>
      </w:r>
      <w:r w:rsidRPr="00D966CA">
        <w:rPr>
          <w:rFonts w:ascii="UICTFontTextStyleBody" w:hAnsi="UICTFontTextStyleBody" w:cs="Times New Roman"/>
          <w:kern w:val="0"/>
          <w:sz w:val="22"/>
          <w:szCs w:val="22"/>
          <w:rtl/>
          <w14:ligatures w14:val="none"/>
        </w:rPr>
        <w:t>: نشاط ذو طابع اقتصادي يباشره موفر الخدمة والمستهلك -بصورة كلية أو جزئية- بوسيلة إلكترونية؛ من أجل بيع منتجات أو تقديم خدمات أو الإعلان عنها أو تبادل البيانات الخاصة بها.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البيانات</w:t>
      </w:r>
      <w:r w:rsidRPr="00D966CA">
        <w:rPr>
          <w:rFonts w:ascii="UICTFontTextStyleBody" w:hAnsi="UICTFontTextStyleBody" w:cs="Times New Roman"/>
          <w:kern w:val="0"/>
          <w:sz w:val="22"/>
          <w:szCs w:val="22"/>
          <w:rtl/>
          <w14:ligatures w14:val="none"/>
        </w:rPr>
        <w:t>: كل بيان مهما كان مصدره أو شكله، يستخدم بشكل مباشر أو غير مباشر عند التعامل بالتجارة الإلكترونية.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الشخص</w:t>
      </w:r>
      <w:r w:rsidRPr="00D966CA">
        <w:rPr>
          <w:rFonts w:ascii="UICTFontTextStyleBody" w:hAnsi="UICTFontTextStyleBody" w:cs="Times New Roman"/>
          <w:kern w:val="0"/>
          <w:sz w:val="22"/>
          <w:szCs w:val="22"/>
          <w:rtl/>
          <w14:ligatures w14:val="none"/>
        </w:rPr>
        <w:t>: الشخص ذو الصفة الطبيعية أو الاعتبارية.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التاجر</w:t>
      </w:r>
      <w:r w:rsidRPr="00D966CA">
        <w:rPr>
          <w:rFonts w:ascii="UICTFontTextStyleBody" w:hAnsi="UICTFontTextStyleBody" w:cs="Times New Roman"/>
          <w:kern w:val="0"/>
          <w:sz w:val="22"/>
          <w:szCs w:val="22"/>
          <w:rtl/>
          <w14:ligatures w14:val="none"/>
        </w:rPr>
        <w:t>: الشخص المقيد بالسجل التجاري الذي يزاول التجارة الإلكترونية.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الممارس</w:t>
      </w:r>
      <w:r w:rsidRPr="00D966CA">
        <w:rPr>
          <w:rFonts w:ascii="UICTFontTextStyleBody" w:hAnsi="UICTFontTextStyleBody" w:cs="Times New Roman"/>
          <w:kern w:val="0"/>
          <w:sz w:val="22"/>
          <w:szCs w:val="22"/>
          <w:rtl/>
          <w14:ligatures w14:val="none"/>
        </w:rPr>
        <w:t>: الشخص غير المقيد بالسجل التجاري الذي يزاول التجارة الإلكترونية.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موفر الخدمة</w:t>
      </w:r>
      <w:r w:rsidRPr="00D966CA">
        <w:rPr>
          <w:rFonts w:ascii="UICTFontTextStyleBody" w:hAnsi="UICTFontTextStyleBody" w:cs="Times New Roman"/>
          <w:kern w:val="0"/>
          <w:sz w:val="22"/>
          <w:szCs w:val="22"/>
          <w:rtl/>
          <w14:ligatures w14:val="none"/>
        </w:rPr>
        <w:t>: التاجر أو الممارس.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المستهلك</w:t>
      </w:r>
      <w:r w:rsidRPr="00D966CA">
        <w:rPr>
          <w:rFonts w:ascii="UICTFontTextStyleBody" w:hAnsi="UICTFontTextStyleBody" w:cs="Times New Roman"/>
          <w:kern w:val="0"/>
          <w:sz w:val="22"/>
          <w:szCs w:val="22"/>
          <w:rtl/>
          <w14:ligatures w14:val="none"/>
        </w:rPr>
        <w:t>: الشخص الذي يتعامل بالتجارة الإلكترونية رغبةً في الحصول على المنتجات أو الخدمات التي يوفرها موفر الخدمة.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العقد</w:t>
      </w:r>
      <w:r w:rsidRPr="00D966CA">
        <w:rPr>
          <w:rFonts w:ascii="UICTFontTextStyleBody" w:hAnsi="UICTFontTextStyleBody" w:cs="Times New Roman"/>
          <w:kern w:val="0"/>
          <w:sz w:val="22"/>
          <w:szCs w:val="22"/>
          <w:rtl/>
          <w14:ligatures w14:val="none"/>
        </w:rPr>
        <w:t>: الاتفاق الذي يُبرم إلكترونيًّا بين الأطراف الذين يتعاملون بالتجارة الإلكترونية.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المحل الإلكتروني</w:t>
      </w:r>
      <w:r w:rsidRPr="00D966CA">
        <w:rPr>
          <w:rFonts w:ascii="UICTFontTextStyleBody" w:hAnsi="UICTFontTextStyleBody" w:cs="Times New Roman"/>
          <w:kern w:val="0"/>
          <w:sz w:val="22"/>
          <w:szCs w:val="22"/>
          <w:rtl/>
          <w14:ligatures w14:val="none"/>
        </w:rPr>
        <w:t>: منصة إلكترونية تتيح لموفر الخدمة عرض منتج أو بيعه، أو تقديم خدمة، أو الإعلان عنها أو تبادل البيانات الخاصة بها.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جهات توثيق المحلات الإلكترونية</w:t>
      </w:r>
      <w:r w:rsidRPr="00D966CA">
        <w:rPr>
          <w:rFonts w:ascii="UICTFontTextStyleBody" w:hAnsi="UICTFontTextStyleBody" w:cs="Times New Roman"/>
          <w:kern w:val="0"/>
          <w:sz w:val="22"/>
          <w:szCs w:val="22"/>
          <w:rtl/>
          <w14:ligatures w14:val="none"/>
        </w:rPr>
        <w:t>: الجهات التي ترخص لها الوزارة بتولي عملية توثيق المحلات الإلكترونية.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الخطاب الإلكتروني</w:t>
      </w:r>
      <w:r w:rsidRPr="00D966CA">
        <w:rPr>
          <w:rFonts w:ascii="UICTFontTextStyleBody" w:hAnsi="UICTFontTextStyleBody" w:cs="Times New Roman"/>
          <w:kern w:val="0"/>
          <w:sz w:val="22"/>
          <w:szCs w:val="22"/>
          <w:rtl/>
          <w14:ligatures w14:val="none"/>
        </w:rPr>
        <w:t>: بيان أو إعلان أو إشعار أو طلب أو عرض يوجهه أطراف العقد بوسيلة إلكترونية في مرحلة التفاوض في شأن العقد أو أثناء تنفيذه.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الإعلان الإلكتروني</w:t>
      </w:r>
      <w:r w:rsidRPr="00D966CA">
        <w:rPr>
          <w:rFonts w:ascii="UICTFontTextStyleBody" w:hAnsi="UICTFontTextStyleBody" w:cs="Times New Roman"/>
          <w:kern w:val="0"/>
          <w:sz w:val="22"/>
          <w:szCs w:val="22"/>
          <w:rtl/>
          <w14:ligatures w14:val="none"/>
        </w:rPr>
        <w:t>: كل دعاية بوسيلة إلكترونية يقوم بها موفر الخدمة، تهدف إلى تشجيع بيع منتج أو تقديم خدمة بأسلوب مباشر أو غير مباشر.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وسيلة إلكترونية</w:t>
      </w:r>
      <w:r w:rsidRPr="00D966CA">
        <w:rPr>
          <w:rFonts w:ascii="UICTFontTextStyleBody" w:hAnsi="UICTFontTextStyleBody" w:cs="Times New Roman"/>
          <w:kern w:val="0"/>
          <w:sz w:val="22"/>
          <w:szCs w:val="22"/>
          <w:rtl/>
          <w14:ligatures w14:val="none"/>
        </w:rPr>
        <w:t>: أي تقنية استعمال من وسائل تقنية الاتصالات والمعلومات سواء كانت كهربائية، أو كهرومغناطيسية، أو بصرية، أو ضوئية أو رقمية أو أي شكل آخر من وسائل التقنية المشابهة.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النظام على كلٍّ ممن يأتي:</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موفر الخدمة داخل المملكة.</w:t>
      </w:r>
      <w:r w:rsidRPr="00D966CA">
        <w:rPr>
          <w:rFonts w:ascii="UICTFontTextStyleBody" w:hAnsi="UICTFontTextStyleBody" w:cs="Times New Roman"/>
          <w:kern w:val="0"/>
          <w:sz w:val="22"/>
          <w:szCs w:val="22"/>
          <w:rtl/>
          <w14:ligatures w14:val="none"/>
        </w:rPr>
        <w:br/>
        <w:t>ب- الممارس خارج المملكة الذي يقدم منتجات أو خدمات داخل المملكة من خلال عرضها بطريقة تمكن المستهلك من الوصول إليها.</w:t>
      </w:r>
      <w:r w:rsidRPr="00D966CA">
        <w:rPr>
          <w:rFonts w:ascii="UICTFontTextStyleBody" w:hAnsi="UICTFontTextStyleBody" w:cs="Times New Roman"/>
          <w:kern w:val="0"/>
          <w:sz w:val="22"/>
          <w:szCs w:val="22"/>
          <w:rtl/>
          <w14:ligatures w14:val="none"/>
        </w:rPr>
        <w:br/>
        <w:t>ج- المستهلك.</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3A1DA2" w:rsidRPr="00D966CA" w:rsidRDefault="003A1DA2" w:rsidP="003A1DA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يقصد بمقر عمل موفر الخدمة لأغراض تطبيق أحكام النظام ما </w:t>
      </w:r>
      <w:proofErr w:type="spellStart"/>
      <w:r w:rsidRPr="00D966CA">
        <w:rPr>
          <w:rFonts w:ascii="UICTFontTextStyleBody" w:eastAsia="Times New Roman" w:hAnsi="UICTFontTextStyleBody" w:cs="Times New Roman"/>
          <w:kern w:val="0"/>
          <w:sz w:val="22"/>
          <w:szCs w:val="22"/>
          <w:rtl/>
          <w14:ligatures w14:val="none"/>
        </w:rPr>
        <w:t>يأتي:أ</w:t>
      </w:r>
      <w:proofErr w:type="spellEnd"/>
      <w:r w:rsidRPr="00D966CA">
        <w:rPr>
          <w:rFonts w:ascii="UICTFontTextStyleBody" w:eastAsia="Times New Roman" w:hAnsi="UICTFontTextStyleBody" w:cs="Times New Roman"/>
          <w:kern w:val="0"/>
          <w:sz w:val="22"/>
          <w:szCs w:val="22"/>
          <w:rtl/>
          <w14:ligatures w14:val="none"/>
        </w:rPr>
        <w:t>- بالنسبة إلى التاجر، يكون مقر عمله عنوانه المحدد في سجله التجاري.</w:t>
      </w:r>
      <w:r w:rsidRPr="00D966CA">
        <w:rPr>
          <w:rFonts w:ascii="UICTFontTextStyleBody" w:eastAsia="Times New Roman" w:hAnsi="UICTFontTextStyleBody" w:cs="Times New Roman"/>
          <w:kern w:val="0"/>
          <w:sz w:val="22"/>
          <w:szCs w:val="22"/>
          <w:rtl/>
          <w14:ligatures w14:val="none"/>
        </w:rPr>
        <w:br/>
        <w:t>ب- بالنسبة إلى الممارس، يكون مقر عمله المكان الذي يحدده في محله الإلكتروني، ما لم يثبت غير ذلك.</w:t>
      </w:r>
    </w:p>
    <w:p w:rsidR="003A1DA2" w:rsidRPr="00D966CA" w:rsidRDefault="003A1DA2" w:rsidP="003A1DA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لموفر الخدمة أكثر من مقر عمل ولم يحدد أحدها، يكون مقر العمل المعتد به هو المقر الأوثق صلة بالعقد، مع مراعاة الظروف التي كان الأطراف على علم بها أو توقعوها في أي وقت قبل إبرام العقد أو عند إبرامه.</w:t>
      </w:r>
    </w:p>
    <w:p w:rsidR="003A1DA2" w:rsidRPr="00D966CA" w:rsidRDefault="003A1DA2" w:rsidP="003A1DA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يكن للممارس ذي الشخصية الطبيعية مقر عمل، يكون المقر المعتد به محل إقامته النظامي، وتحدد اللائحة المعايير والشروط اللازمة لذلك.</w:t>
      </w:r>
    </w:p>
    <w:p w:rsidR="003A1DA2" w:rsidRPr="00D966CA" w:rsidRDefault="003A1DA2" w:rsidP="003A1DA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يعد المكان مقر عمل لمجرد أنه يضم المعدات والتقنية الداعمة لنظام المعلومات الذي يستخدمه موفر الخدمة في إبرام العقد، أو يمكن فيه لأطراف أخرى أن تصل إلى نظام المعلومات المعني.</w:t>
      </w:r>
    </w:p>
    <w:p w:rsidR="003A1DA2" w:rsidRPr="00D966CA" w:rsidRDefault="003A1DA2" w:rsidP="003A1DA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استخدام موفر الخدمة اسم نطاق أو عنوان بريد إلكتروني ذا صلة بدولة معينة لا ينشئ قرينة على أن مقر عمله يوجد في تلك الدولة.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حدث خطأ من المستهلك في خطاب إلكتروني ولم تتح له تقنية الاتصال تداركه، فله أن يبلغ موفر الخدمة بموضع الخطأ فور علمه به خلال المهلة التي تحددها اللائحة، ويعد هذا الإبلاغ تداركاً للخطأ إن لم يكن قد استفاد من منتج موفر الخدمة أو خدمته أو حصل على منفعة من أي منهما.</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3A1DA2" w:rsidRPr="00D966CA" w:rsidRDefault="003A1DA2" w:rsidP="003A1DA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ما لم يتفق موفر الخدمة والمستهلك على مدة أخرى، ودون إخلال بما يقضي به نظام آخر، لا يجوز لموفر الخدمة الاحتفاظ ببيانات المستهلك الشخصية أو اتصالاته الإلكترونية إلاَّ في المدة التي </w:t>
      </w:r>
      <w:proofErr w:type="spellStart"/>
      <w:r w:rsidRPr="00D966CA">
        <w:rPr>
          <w:rFonts w:ascii="UICTFontTextStyleBody" w:eastAsia="Times New Roman" w:hAnsi="UICTFontTextStyleBody" w:cs="Times New Roman"/>
          <w:kern w:val="0"/>
          <w:sz w:val="22"/>
          <w:szCs w:val="22"/>
          <w:rtl/>
          <w14:ligatures w14:val="none"/>
        </w:rPr>
        <w:t>تقتضيها</w:t>
      </w:r>
      <w:proofErr w:type="spellEnd"/>
      <w:r w:rsidRPr="00D966CA">
        <w:rPr>
          <w:rFonts w:ascii="UICTFontTextStyleBody" w:eastAsia="Times New Roman" w:hAnsi="UICTFontTextStyleBody" w:cs="Times New Roman"/>
          <w:kern w:val="0"/>
          <w:sz w:val="22"/>
          <w:szCs w:val="22"/>
          <w:rtl/>
          <w14:ligatures w14:val="none"/>
        </w:rPr>
        <w:t xml:space="preserve"> طبيعة التعامل بالتجارة الإلكترونية، ويجب اتخاذ الوسائل اللازمة لحمايتها والحفاظ على خصوصيتها خلال مدة احتفاظه بها، ويكون موفر الخدمة مسؤولاً عن حماية البيانات الشخصية للمستهلك أو اتصالاته الإلكترونية التي تكون في عهدته أو تحت سيطرة الجهات التي يتعامل معها أو مع وكلائها. وتحدد اللائحة البيانات الشخصية التي يجب المحافظة على خصوصيتها وفقاً لأهميتها.</w:t>
      </w:r>
    </w:p>
    <w:p w:rsidR="003A1DA2" w:rsidRPr="00D966CA" w:rsidRDefault="003A1DA2" w:rsidP="003A1DA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لموفر الخدمة استعمال بيانات المستهلك الشخصية أو اتصالاته الإلكترونية لأغراض غير مصرح لها أو مسموح بها، أو الإفصاح عنها لجهة أخرى، بمقابل أو بدون مقابل، إلا بموافقة المستهلك الذي تتعلق به البيانات الشخصية أو إذا اقتضت الأنظمة ذلك.</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موفر الخدمة الإفصاح في محله الإلكتروني عن البيانات الآتية: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اسمه أو أي بيان مميز له، وعنوانه، ما لم يكن مسجلاً لدى إحدى جهات توثيق المحلات الإلكترونية.</w:t>
      </w:r>
      <w:r w:rsidRPr="00D966CA">
        <w:rPr>
          <w:rFonts w:ascii="UICTFontTextStyleBody" w:hAnsi="UICTFontTextStyleBody" w:cs="Times New Roman"/>
          <w:kern w:val="0"/>
          <w:sz w:val="22"/>
          <w:szCs w:val="22"/>
          <w:rtl/>
          <w14:ligatures w14:val="none"/>
        </w:rPr>
        <w:br/>
        <w:t>ب- وسائل الاتصال به.</w:t>
      </w:r>
      <w:r w:rsidRPr="00D966CA">
        <w:rPr>
          <w:rFonts w:ascii="UICTFontTextStyleBody" w:hAnsi="UICTFontTextStyleBody" w:cs="Times New Roman"/>
          <w:kern w:val="0"/>
          <w:sz w:val="22"/>
          <w:szCs w:val="22"/>
          <w:rtl/>
          <w14:ligatures w14:val="none"/>
        </w:rPr>
        <w:br/>
        <w:t>ج- اسم السجل المقيد فيه ورقمه إن كان مقيداً في سجل تجاري أو سجل آخر متاح للعموم.    </w:t>
      </w:r>
      <w:r w:rsidRPr="00D966CA">
        <w:rPr>
          <w:rFonts w:ascii="UICTFontTextStyleBody" w:hAnsi="UICTFontTextStyleBody" w:cs="Times New Roman"/>
          <w:kern w:val="0"/>
          <w:sz w:val="22"/>
          <w:szCs w:val="22"/>
          <w:rtl/>
          <w14:ligatures w14:val="none"/>
        </w:rPr>
        <w:br/>
        <w:t>د- البيانات الأخرى التي تحددها اللائحة.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موفر الخدمة بتقديم بيان للمستهلك يوضح فيه أحكام العقد المزمع إبرامه وشروطه, على أن يشتمل البيان على ما يأتي:</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الإجراءات الواجب اتخاذها لإبرام العقد.</w:t>
      </w:r>
      <w:r w:rsidRPr="00D966CA">
        <w:rPr>
          <w:rFonts w:ascii="UICTFontTextStyleBody" w:hAnsi="UICTFontTextStyleBody" w:cs="Times New Roman"/>
          <w:kern w:val="0"/>
          <w:sz w:val="22"/>
          <w:szCs w:val="22"/>
          <w:rtl/>
          <w14:ligatures w14:val="none"/>
        </w:rPr>
        <w:br/>
        <w:t>ب- البيانات المتعلقة بموفر الخدمة.</w:t>
      </w:r>
      <w:r w:rsidRPr="00D966CA">
        <w:rPr>
          <w:rFonts w:ascii="UICTFontTextStyleBody" w:hAnsi="UICTFontTextStyleBody" w:cs="Times New Roman"/>
          <w:kern w:val="0"/>
          <w:sz w:val="22"/>
          <w:szCs w:val="22"/>
          <w:rtl/>
          <w14:ligatures w14:val="none"/>
        </w:rPr>
        <w:br/>
        <w:t>ج- الخصائص الأساسية للمنتجات أو الخدمات محل العقد.</w:t>
      </w:r>
      <w:r w:rsidRPr="00D966CA">
        <w:rPr>
          <w:rFonts w:ascii="UICTFontTextStyleBody" w:hAnsi="UICTFontTextStyleBody" w:cs="Times New Roman"/>
          <w:kern w:val="0"/>
          <w:sz w:val="22"/>
          <w:szCs w:val="22"/>
          <w:rtl/>
          <w14:ligatures w14:val="none"/>
        </w:rPr>
        <w:br/>
        <w:t>د- إجمالي السعر شاملاً جميع الرسوم أو الضرائب أو المبالغ الإضافية المتعلقة بالتسليم إن وجدت.</w:t>
      </w:r>
      <w:r w:rsidRPr="00D966CA">
        <w:rPr>
          <w:rFonts w:ascii="UICTFontTextStyleBody" w:hAnsi="UICTFontTextStyleBody" w:cs="Times New Roman"/>
          <w:kern w:val="0"/>
          <w:sz w:val="22"/>
          <w:szCs w:val="22"/>
          <w:rtl/>
          <w14:ligatures w14:val="none"/>
        </w:rPr>
        <w:br/>
        <w:t>هـ- ترتيبات الدفع والتسليم والتنفيذ.</w:t>
      </w:r>
      <w:r w:rsidRPr="00D966CA">
        <w:rPr>
          <w:rFonts w:ascii="UICTFontTextStyleBody" w:hAnsi="UICTFontTextStyleBody" w:cs="Times New Roman"/>
          <w:kern w:val="0"/>
          <w:sz w:val="22"/>
          <w:szCs w:val="22"/>
          <w:rtl/>
          <w14:ligatures w14:val="none"/>
        </w:rPr>
        <w:br/>
        <w:t>و- بيانات الضمان إن وجد.</w:t>
      </w:r>
      <w:r w:rsidRPr="00D966CA">
        <w:rPr>
          <w:rFonts w:ascii="UICTFontTextStyleBody" w:hAnsi="UICTFontTextStyleBody" w:cs="Times New Roman"/>
          <w:kern w:val="0"/>
          <w:sz w:val="22"/>
          <w:szCs w:val="22"/>
          <w:rtl/>
          <w14:ligatures w14:val="none"/>
        </w:rPr>
        <w:br/>
        <w:t>ز- البيانات الأخرى التي تحددها اللائحة.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الضوابط اللازمة للبيانات التي يلتزم موفر الخدمة بتقديمها وفقاً لطبيعة كل عملية.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موفر الخدمة تقديم فاتورة إلى المستهلك بعد إبرام العقد مبين فيها تكاليف شراء كل منتج أو تقديم خدمة، وإجمالي السعر شاملاً جميع الرسوم أو الضرائب أو المبالغ الإضافية المتعلقة بالتسليم إن وجدت، وتاريخ التسليم ومكانه، وذلك وفق ما تحدده اللائحة.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موفر الخدمة الذي يمارس مهنة تخضع لتنظيم معين، وتتطلب ترخيصاً أو تصريحاً بممارستها، الإفصاح عما يأتي:</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الجهة المسجل لديها، وبيانات الترخيص أو التصريح الصادر عنها.</w:t>
      </w:r>
      <w:r w:rsidRPr="00D966CA">
        <w:rPr>
          <w:rFonts w:ascii="UICTFontTextStyleBody" w:hAnsi="UICTFontTextStyleBody" w:cs="Times New Roman"/>
          <w:kern w:val="0"/>
          <w:sz w:val="22"/>
          <w:szCs w:val="22"/>
          <w:rtl/>
          <w14:ligatures w14:val="none"/>
        </w:rPr>
        <w:br/>
        <w:t>ب- اللقب المهني المعمول به، والدولة التي منحته.</w:t>
      </w:r>
      <w:r w:rsidRPr="00D966CA">
        <w:rPr>
          <w:rFonts w:ascii="UICTFontTextStyleBody" w:hAnsi="UICTFontTextStyleBody" w:cs="Times New Roman"/>
          <w:kern w:val="0"/>
          <w:sz w:val="22"/>
          <w:szCs w:val="22"/>
          <w:rtl/>
          <w14:ligatures w14:val="none"/>
        </w:rPr>
        <w:br/>
        <w:t>ج- البيانات الأخرى التي تحددها اللائحة.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3A1DA2" w:rsidRPr="00D966CA" w:rsidRDefault="003A1DA2" w:rsidP="003A1DA2">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الإعلان الإلكتروني من الوثائق التعاقدية المكملة للعقود وملزمة لأطراف العقد.   </w:t>
      </w:r>
    </w:p>
    <w:p w:rsidR="003A1DA2" w:rsidRPr="00D966CA" w:rsidRDefault="003A1DA2" w:rsidP="003A1DA2">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يتضمن الإعلان الإلكتروني ما يأتي:</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اسم المنتج أو الخدمة المعلن عنها.</w:t>
      </w:r>
      <w:r w:rsidRPr="00D966CA">
        <w:rPr>
          <w:rFonts w:ascii="UICTFontTextStyleBody" w:hAnsi="UICTFontTextStyleBody" w:cs="Times New Roman"/>
          <w:kern w:val="0"/>
          <w:sz w:val="22"/>
          <w:szCs w:val="22"/>
          <w:rtl/>
          <w14:ligatures w14:val="none"/>
        </w:rPr>
        <w:br/>
        <w:t>ب- اسم موفر الخدمة، وأي بيان مميز له، ما لم يكن مسجلاً لدى إحدى جهات توثيق المحلات الإلكترونية.</w:t>
      </w:r>
      <w:r w:rsidRPr="00D966CA">
        <w:rPr>
          <w:rFonts w:ascii="UICTFontTextStyleBody" w:hAnsi="UICTFontTextStyleBody" w:cs="Times New Roman"/>
          <w:kern w:val="0"/>
          <w:sz w:val="22"/>
          <w:szCs w:val="22"/>
          <w:rtl/>
          <w14:ligatures w14:val="none"/>
        </w:rPr>
        <w:br/>
        <w:t>ج- وسائل الاتصال بموفر الخدمة.</w:t>
      </w:r>
      <w:r w:rsidRPr="00D966CA">
        <w:rPr>
          <w:rFonts w:ascii="UICTFontTextStyleBody" w:hAnsi="UICTFontTextStyleBody" w:cs="Times New Roman"/>
          <w:kern w:val="0"/>
          <w:sz w:val="22"/>
          <w:szCs w:val="22"/>
          <w:rtl/>
          <w14:ligatures w14:val="none"/>
        </w:rPr>
        <w:br/>
        <w:t>د- البيانات الأخرى التي تحددها اللائحة.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تضمين الإعلان الإلكتروني ما يأتي:</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عرضاً أو بياناً أو ادعاء كاذباً أو مصوغاً بعبارات من شأنها أن تؤدي بصورة مباشرة أو غير مباشرة إلى خداع المستهلك أو تضليله.</w:t>
      </w:r>
      <w:r w:rsidRPr="00D966CA">
        <w:rPr>
          <w:rFonts w:ascii="UICTFontTextStyleBody" w:hAnsi="UICTFontTextStyleBody" w:cs="Times New Roman"/>
          <w:kern w:val="0"/>
          <w:sz w:val="22"/>
          <w:szCs w:val="22"/>
          <w:rtl/>
          <w14:ligatures w14:val="none"/>
        </w:rPr>
        <w:br/>
        <w:t>ب- شعاراً أو علامة تجارية لا يملك موفر الخدمة حق استعمالها، أو علامة مقلدة.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بإيقاع العقوبات الواردة في المادة (الثامنة عشرة) من النظام، إذا ثبت أن موفر الخدمة خالف أيًّا من أحكام الفقرة (2) من المادة (العاشرة) أو المادة (الحادية عشرة) من النظام، فللوزارة إلزامه بإزالة المخالفة أو بسحب الإعلان خلال يوم واحد من تاريخ إبلاغه. </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3A1DA2" w:rsidRPr="00D966CA" w:rsidRDefault="003A1DA2" w:rsidP="003A1DA2">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عدم الإخلال بأحكام الضمان الاتفاقية والنظامية، للمستهلك -في غير الحالات المنصوص عليها في الفقرة (2) من هذه المادة- فسخ العقد خلال الأيام السبعة التالية لتاريخ تسلمه المنتج أو لتاريخ التعاقد على تقديم الخدمة، ما دام أنه لم يستخدم منتج موفر الخدمة أو لم يستفد من خدمته أو لم يحصل على منفعة من أيّ منهما، وفي هذه الحالة يتحمل المستهلك التكاليف المترتبة على فسخ العقد إلا إذا اتفق أطراف العقد على غير ذلك.</w:t>
      </w:r>
    </w:p>
    <w:p w:rsidR="003A1DA2" w:rsidRPr="00D966CA" w:rsidRDefault="003A1DA2" w:rsidP="003A1DA2">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يحق للمستهلك فسخ العقد بموجب الفقرة (1) من هذه المادة في الحالات الآتية: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إذا كان محل العقد منتجات مصنعة بناء على طلب المستهلك أو وفقاً لمواصفات حددها، ويستثنى من ذلك المنتجات التي بها عيب أو غير المطابقة للمواصفات المتفق عليها.</w:t>
      </w:r>
      <w:r w:rsidRPr="00D966CA">
        <w:rPr>
          <w:rFonts w:ascii="UICTFontTextStyleBody" w:hAnsi="UICTFontTextStyleBody" w:cs="Times New Roman"/>
          <w:kern w:val="0"/>
          <w:sz w:val="22"/>
          <w:szCs w:val="22"/>
          <w:rtl/>
          <w14:ligatures w14:val="none"/>
        </w:rPr>
        <w:br/>
        <w:t>ب- إذا كان محل العقد أشرطة فيديو أو أسطوانات أو أقراصاً مدمجة أو برامج معلوماتية جرى استخدامها.</w:t>
      </w:r>
      <w:r w:rsidRPr="00D966CA">
        <w:rPr>
          <w:rFonts w:ascii="UICTFontTextStyleBody" w:hAnsi="UICTFontTextStyleBody" w:cs="Times New Roman"/>
          <w:kern w:val="0"/>
          <w:sz w:val="22"/>
          <w:szCs w:val="22"/>
          <w:rtl/>
          <w14:ligatures w14:val="none"/>
        </w:rPr>
        <w:br/>
        <w:t>ج- إذا كان العقد يتناول شراء صحف أو مجلات أو منشورات أو كتب.</w:t>
      </w:r>
      <w:r w:rsidRPr="00D966CA">
        <w:rPr>
          <w:rFonts w:ascii="UICTFontTextStyleBody" w:hAnsi="UICTFontTextStyleBody" w:cs="Times New Roman"/>
          <w:kern w:val="0"/>
          <w:sz w:val="22"/>
          <w:szCs w:val="22"/>
          <w:rtl/>
          <w14:ligatures w14:val="none"/>
        </w:rPr>
        <w:br/>
        <w:t>د- إذا ظهر عيب في المنتج بسبب سوء حيازة المستهلك.</w:t>
      </w:r>
      <w:r w:rsidRPr="00D966CA">
        <w:rPr>
          <w:rFonts w:ascii="UICTFontTextStyleBody" w:hAnsi="UICTFontTextStyleBody" w:cs="Times New Roman"/>
          <w:kern w:val="0"/>
          <w:sz w:val="22"/>
          <w:szCs w:val="22"/>
          <w:rtl/>
          <w14:ligatures w14:val="none"/>
        </w:rPr>
        <w:br/>
        <w:t>هـ- إذا كان العقد يتناول تقديم خدمات إيواء أو نقل أو إطعام.</w:t>
      </w:r>
      <w:r w:rsidRPr="00D966CA">
        <w:rPr>
          <w:rFonts w:ascii="UICTFontTextStyleBody" w:hAnsi="UICTFontTextStyleBody" w:cs="Times New Roman"/>
          <w:kern w:val="0"/>
          <w:sz w:val="22"/>
          <w:szCs w:val="22"/>
          <w:rtl/>
          <w14:ligatures w14:val="none"/>
        </w:rPr>
        <w:br/>
        <w:t>و- إذا كان العقد يتناول شراء منتجات تحميل البرامج عبر الإنترنت، ويستثنى من ذلك البرامج التي بها عيب يحول دون إتمام التحميل أو غير المطابقة لما اتفق عليه.</w:t>
      </w:r>
      <w:r w:rsidRPr="00D966CA">
        <w:rPr>
          <w:rFonts w:ascii="UICTFontTextStyleBody" w:hAnsi="UICTFontTextStyleBody" w:cs="Times New Roman"/>
          <w:kern w:val="0"/>
          <w:sz w:val="22"/>
          <w:szCs w:val="22"/>
          <w:rtl/>
          <w14:ligatures w14:val="none"/>
        </w:rPr>
        <w:br/>
        <w:t>ز- الحالات الأخرى التي تحددها اللائحة وفق ما تستدعيه طبيعة المنتجات أو الخدمات.</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3A1DA2" w:rsidRPr="00D966CA" w:rsidRDefault="003A1DA2" w:rsidP="003A1DA2">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يتفق موفر الخدمة والمستهلك على مدة أخرى لتسليم محل العقد أو تنفيذه،  يحق للمستهلك فسخ العقد إذا تأخر موفر الخدمة عن التسليم أو التنفيذ مدة تزيد على (خمسة عشر) يوماً من تاريخ إبرام العقد أو عن الموعد المتفق عليه، وله استرداد ما دفعه بمقتضى العقد مقابل المنتج أو الخدمة أو غير ذلك من تكاليف ترتبت على هذا التأخير، ما لم يكن التأخير بسبب قوة قاهرة.</w:t>
      </w:r>
    </w:p>
    <w:p w:rsidR="003A1DA2" w:rsidRPr="00D966CA" w:rsidRDefault="003A1DA2" w:rsidP="003A1DA2">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بما ورد في الفقرة (1) من هذه المادة، يلتزم موفر الخدمة بإبلاغ المستهلك عن أي تأخير متوقع أو صعوبات يكون لها تأثير جوهري في تسليم محل العقد أو تنفيذه.</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التاجر أن يُقيِّد محله الإلكتروني في السجل التجاري وفقاً لنظام السجل التجاري، وتحدد اللائحة الضوابط اللازمة لذلك.</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تشرف الوزارة على قطاع التجارة الإلكترونية، وتصدر -بحسب الحاجة- القواعد اللازمة لتنظيمه بما يعزز دور التجارة الإلكترونية ويحمي سلامة التعاملات بها، ويشمل ذلك تنظيم ما يأتي:</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جهات توثيق المحلات الإلكترونية.</w:t>
      </w:r>
      <w:r w:rsidRPr="00D966CA">
        <w:rPr>
          <w:rFonts w:ascii="UICTFontTextStyleBody" w:hAnsi="UICTFontTextStyleBody" w:cs="Times New Roman"/>
          <w:kern w:val="0"/>
          <w:sz w:val="22"/>
          <w:szCs w:val="22"/>
          <w:rtl/>
          <w14:ligatures w14:val="none"/>
        </w:rPr>
        <w:br/>
        <w:t>ب- المنصات الإلكترونية التي تؤدي دور الوساطة بين موفر الخدمة والمستهلك.</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خالف موفر الخدمة أيًّا من أحكام النظام أو اللائحة، فللوزير -أو من ينيبه- أن يتخذ في الحالات العاجلة والضرورية قراراً بحجب المحل الإلكتروني -بالتنسيق مع الجهة المختصة- جزئيًّا أو كليًّا إلى أن تتم معالجة المخالفة أو البت فيها أيهما أسبق، وإحالة المخالفة إلى اللجنة المنصوص عليها في الفقرة (1) من المادة (التاسعة عشرة) من النظام خلال مدة أقصاها (ثلاثة) أيام اعتباراً من حجب المحل الإلكتروني؛ على أن تتخذ اللجنة قرارها في شأن المخالفة خلال مدة لا تتجاوز (عشرة) أيام اعتباراً من تاريخ الإحالة، وللجنة وقف قرار حجب المحل الإلكتروني جزئيًّا أو كليًّا إذا رأت مسوغاً لذلك.</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الاخلال بأي عقوبة أشد ينص عليها نظام آخر، يعاقب كل من يخالف أيًّا من أحكام النظام أو اللائحة بواحدة أو أكثر من العقوبات الآتية: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الإنذار.</w:t>
      </w:r>
      <w:r w:rsidRPr="00D966CA">
        <w:rPr>
          <w:rFonts w:ascii="UICTFontTextStyleBody" w:hAnsi="UICTFontTextStyleBody" w:cs="Times New Roman"/>
          <w:kern w:val="0"/>
          <w:sz w:val="22"/>
          <w:szCs w:val="22"/>
          <w:rtl/>
          <w14:ligatures w14:val="none"/>
        </w:rPr>
        <w:br/>
        <w:t>ب- غرامة لا تزيد على (1.000.000) مليون ريال.</w:t>
      </w:r>
      <w:r w:rsidRPr="00D966CA">
        <w:rPr>
          <w:rFonts w:ascii="UICTFontTextStyleBody" w:hAnsi="UICTFontTextStyleBody" w:cs="Times New Roman"/>
          <w:kern w:val="0"/>
          <w:sz w:val="22"/>
          <w:szCs w:val="22"/>
          <w:rtl/>
          <w14:ligatures w14:val="none"/>
        </w:rPr>
        <w:br/>
        <w:t>ج- إيقاف مزاولة التجارة الإلكترونية مؤقتًا أو دائمًا.</w:t>
      </w:r>
      <w:r w:rsidRPr="00D966CA">
        <w:rPr>
          <w:rFonts w:ascii="UICTFontTextStyleBody" w:hAnsi="UICTFontTextStyleBody" w:cs="Times New Roman"/>
          <w:kern w:val="0"/>
          <w:sz w:val="22"/>
          <w:szCs w:val="22"/>
          <w:rtl/>
          <w14:ligatures w14:val="none"/>
        </w:rPr>
        <w:br/>
        <w:t>د- حجب المحل الإلكتروني -بالتنسيق مع الجهة المختصة- جزئيًّا أو كليًّا، مؤقتًا أو دائمًا.</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3A1DA2" w:rsidRPr="00D966CA" w:rsidRDefault="003A1DA2" w:rsidP="003A1DA2">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بقرار من الوزير لجنة (أو أكثر) تتولى النظر في مخالفات أحكام النظام أو اللائحة وتوقيع العقوبات المنصوص عليها في المادة (الثامنة عشرة) من النظام، على ألاّ يقل عدد أعضائها عن (ثلاثة) ويكون من بينهم مستشار نظامي على الأقل، وتصدر قرارات اللجنة بالأغلبية. ويصدر الوزير بقرار منه قواعد عمل اللجنة ويحدد مكافآت أعضائها.</w:t>
      </w:r>
    </w:p>
    <w:p w:rsidR="003A1DA2" w:rsidRPr="00D966CA" w:rsidRDefault="003A1DA2" w:rsidP="003A1DA2">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يراعى في اختيار العقوبة جسامة المخالفة وتكرارها وحجم نشاط موفر الخدمة والضرر الذي وقع على الآخرين بسببها.</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صدر ضده أي قرار بناءً على النظام الاعتراض عليه أمام المحكمة الإدارية وفقاً لأحكام نظام المرافعات أمام ديوان المظالم.</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تضمين القرار الصادر بتحديد العقوبة النص على نشر منطوقه على نفقة المخالف في صحيفة (أو أكثر) من الصحف المحلية التي تصدر في محل إقامته، أو في أي وسيلة أخرى مناسبة، وذلك بحسب نوع المخالفة المرتكبة وجسامتها وتأثيرها، على أن يكون النشر بعد تحصن القرار بمضي المدة المحددة نظاماً أو كان الحكم الصادر في شأنه مكتسباً للصفة القطعية.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المحكمة المختصة الفصل في المنازعات، بما في ذلك دعاوى المطالبة بالتعويض الناشئة عن تطبيق أحكام النظام</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موظفون -يصدر بتعيينهم قرار من الوزير- أعمال الرقابة والتفتيش على تعاملات التجارة الإلكترونية وضبط مخالفات أحكام النظام واللائحة.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لم يرد في شأنه نص خاص في النظام، تسري على التجارة الإلكترونية أحكام نظام التعاملات الإلكترونية والأنظمة الأخرى ذات الصلة.</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خلال (تسعين) يوماً من تاريخ نشر النظام في الجريدة الرسمية, ويعمل بها من تاريخ العمل به.</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3A1DA2" w:rsidRPr="00D966CA" w:rsidRDefault="003A1DA2" w:rsidP="003A1DA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مضي (تسعين) يوماً من تاريخ نشره في الجريدة الرسمية.</w:t>
      </w: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2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9B49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9145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FB31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6C13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142D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A2"/>
    <w:rsid w:val="003A1DA2"/>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DA2"/>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DA2"/>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1620</Words>
  <Characters>9237</Characters>
  <Application>Microsoft Office Word</Application>
  <DocSecurity>0</DocSecurity>
  <Lines>76</Lines>
  <Paragraphs>21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2025-04-22T15:41:00Z</dcterms:created>
  <dcterms:modified xsi:type="dcterms:W3CDTF">2025-04-22T15:41:00Z</dcterms:modified>
</cp:coreProperties>
</file>