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69" w:rsidRPr="00D966CA" w:rsidRDefault="00A36269" w:rsidP="00A36269">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صندوق الاستثمارات العامة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 تعريفات</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قصد بالكلمات والعبارات الآتية، أينما وردت في النظام، المعاني الموضحة أمام كل منها، ما لم يقتض سياق النص غير ذلك:</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الصندوق</w:t>
      </w:r>
      <w:r w:rsidRPr="00D966CA">
        <w:rPr>
          <w:rFonts w:ascii="UICTFontTextStyleBody" w:hAnsi="UICTFontTextStyleBody" w:cs="Times New Roman"/>
          <w:kern w:val="0"/>
          <w:sz w:val="22"/>
          <w:szCs w:val="22"/>
          <w:rtl/>
          <w14:ligatures w14:val="none"/>
        </w:rPr>
        <w:t>: صندوق الاستثمارات العامة.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الرئيس</w:t>
      </w:r>
      <w:r w:rsidRPr="00D966CA">
        <w:rPr>
          <w:rFonts w:ascii="UICTFontTextStyleBody" w:hAnsi="UICTFontTextStyleBody" w:cs="Times New Roman"/>
          <w:kern w:val="0"/>
          <w:sz w:val="22"/>
          <w:szCs w:val="22"/>
          <w:rtl/>
          <w14:ligatures w14:val="none"/>
        </w:rPr>
        <w:t>: رئيس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المحافظ</w:t>
      </w:r>
      <w:r w:rsidRPr="00D966CA">
        <w:rPr>
          <w:rFonts w:ascii="UICTFontTextStyleBody" w:hAnsi="UICTFontTextStyleBody" w:cs="Times New Roman"/>
          <w:kern w:val="0"/>
          <w:sz w:val="22"/>
          <w:szCs w:val="22"/>
          <w:rtl/>
          <w14:ligatures w14:val="none"/>
        </w:rPr>
        <w:t>: محافظ الصندوق.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القواعد والسياسات الداخلية</w:t>
      </w:r>
      <w:r w:rsidRPr="00D966CA">
        <w:rPr>
          <w:rFonts w:ascii="UICTFontTextStyleBody" w:hAnsi="UICTFontTextStyleBody" w:cs="Times New Roman"/>
          <w:kern w:val="0"/>
          <w:sz w:val="22"/>
          <w:szCs w:val="22"/>
          <w:rtl/>
          <w14:ligatures w14:val="none"/>
        </w:rPr>
        <w:t>: مجموعة اللوائح والتعليمات والإجراءات التي يصدرها المجلس لتنظيم الشؤون الداخلية للصندوق.</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يرتبط الصندوق تنظيمياً بمجلس الشؤون الاقتصادية والتنمية، وتكون له شخصية اعتبارية عامة، ويتمتع بالاستقلال المالي والإداري، ويكون مقره في مدينة الرياض، وله فتح فروع داخل المملكة وخارجها بحسب الحاجة.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 أغراض الصندوق وصلاحياته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الصندوق إلى استثمار أمواله -نقديًا أو عينيًا- وفقاً لأفضل المعايير لتحقيق العوائد بما يخدم المصلحة العامة ويسهم في دعم التنمية الاقتصادية في المملكة وتنويع مصادر دخلها، ومراعاة مصلحة الأجيال القادمة.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للصندوق الصلاحيات اللازمة لتحقيق أهدافه وتأدية وظائفه ومهماته بموجب النظام، وتشمل ما يأتي:</w:t>
      </w:r>
      <w:r w:rsidRPr="00D966CA">
        <w:rPr>
          <w:rFonts w:ascii="UICTFontTextStyleBody" w:hAnsi="UICTFontTextStyleBody" w:cs="Times New Roman"/>
          <w:kern w:val="0"/>
          <w:sz w:val="22"/>
          <w:szCs w:val="22"/>
          <w:rtl/>
          <w14:ligatures w14:val="none"/>
        </w:rPr>
        <w:br/>
        <w:t>1- الاستثمار داخل المملكة وخارجها، وتملّك الأصول والتصرف فيها، بما في ذلك العقارات والحقوق العينية والحصص والأوراق المالية والعملات الأجنبية والسلع والمشتقات المالية بأنواعها.</w:t>
      </w:r>
      <w:r w:rsidRPr="00D966CA">
        <w:rPr>
          <w:rFonts w:ascii="UICTFontTextStyleBody" w:hAnsi="UICTFontTextStyleBody" w:cs="Times New Roman"/>
          <w:kern w:val="0"/>
          <w:sz w:val="22"/>
          <w:szCs w:val="22"/>
          <w:rtl/>
          <w14:ligatures w14:val="none"/>
        </w:rPr>
        <w:br/>
        <w:t>2- تأسيس الشركات وغيرها من المنشآت ذات الأغراض الخاصة داخل المملكة وخارجها, والمشاركة فيها بمفرده أو مع الغير.</w:t>
      </w:r>
      <w:r w:rsidRPr="00D966CA">
        <w:rPr>
          <w:rFonts w:ascii="UICTFontTextStyleBody" w:hAnsi="UICTFontTextStyleBody" w:cs="Times New Roman"/>
          <w:kern w:val="0"/>
          <w:sz w:val="22"/>
          <w:szCs w:val="22"/>
          <w:rtl/>
          <w14:ligatures w14:val="none"/>
        </w:rPr>
        <w:br/>
        <w:t>3- الإقراض وغير ذلك من صور التمويل.</w:t>
      </w:r>
      <w:r w:rsidRPr="00D966CA">
        <w:rPr>
          <w:rFonts w:ascii="UICTFontTextStyleBody" w:hAnsi="UICTFontTextStyleBody" w:cs="Times New Roman"/>
          <w:kern w:val="0"/>
          <w:sz w:val="22"/>
          <w:szCs w:val="22"/>
          <w:rtl/>
          <w14:ligatures w14:val="none"/>
        </w:rPr>
        <w:br/>
        <w:t>4- عقد القروض وغير ذلك من صور المديونية, بما في ذلك إصدار الصكوك والسندات.</w:t>
      </w:r>
      <w:r w:rsidRPr="00D966CA">
        <w:rPr>
          <w:rFonts w:ascii="UICTFontTextStyleBody" w:hAnsi="UICTFontTextStyleBody" w:cs="Times New Roman"/>
          <w:kern w:val="0"/>
          <w:sz w:val="22"/>
          <w:szCs w:val="22"/>
          <w:rtl/>
          <w14:ligatures w14:val="none"/>
        </w:rPr>
        <w:br/>
        <w:t>5- إصدار الضمانات للشركات والمنشآت ذات الأغراض الخاصة الأخرى التي يملكها أو يساهم فيها.</w:t>
      </w:r>
      <w:r w:rsidRPr="00D966CA">
        <w:rPr>
          <w:rFonts w:ascii="UICTFontTextStyleBody" w:hAnsi="UICTFontTextStyleBody" w:cs="Times New Roman"/>
          <w:kern w:val="0"/>
          <w:sz w:val="22"/>
          <w:szCs w:val="22"/>
          <w:rtl/>
          <w14:ligatures w14:val="none"/>
        </w:rPr>
        <w:br/>
        <w:t>6- إبرام الاتفاقيات ومذكرات التفاهم ذات الصلة بنشاطه مع الجهات المعنية في الدول والمنظمات الدولية. </w:t>
      </w:r>
      <w:r w:rsidRPr="00D966CA">
        <w:rPr>
          <w:rFonts w:ascii="UICTFontTextStyleBody" w:hAnsi="UICTFontTextStyleBody" w:cs="Times New Roman"/>
          <w:kern w:val="0"/>
          <w:sz w:val="22"/>
          <w:szCs w:val="22"/>
          <w:rtl/>
          <w14:ligatures w14:val="none"/>
        </w:rPr>
        <w:br/>
        <w:t>7- القيام بأي نشاط أو عمل آخر يقره المجلس بما يحقق أهداف الصندوق ويتفق مع طبيعة عمله. </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 المجلس</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للصندوق مجلس إدارة برئاسة رئيس مجلس الشؤون الاقتصادية والتنمية، وعضوية المحافظ وما لا يقل عن أربعة أعضاء آخرين من ذوي الخبرة والاختصاص، على أن يكون من بينهم ممثلون من الجهات المعنية، يصدر بتعيينهم أمر ملكي وتكون مدة عضويتهم خمس سنوات قابلة للتجديد.</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المجلس مسؤولاً عن الإشراف على شؤون الصندوق وإدارته وتحقيق أهدافه ومباشرة صلاحياته الواردة في النظام، ويكون له في سبيل ذلك أوسع السلطات والصلاحيات، ويتولى إقرار القواعد والسياسات الداخلية وإصدارها؛ ويشمل ذلك ما يأتي:</w:t>
      </w:r>
      <w:r w:rsidRPr="00D966CA">
        <w:rPr>
          <w:rFonts w:ascii="UICTFontTextStyleBody" w:hAnsi="UICTFontTextStyleBody" w:cs="Times New Roman"/>
          <w:kern w:val="0"/>
          <w:sz w:val="22"/>
          <w:szCs w:val="22"/>
          <w:rtl/>
          <w14:ligatures w14:val="none"/>
        </w:rPr>
        <w:br/>
        <w:t>1- وضع استراتيجية الاستثمار وسياساته وإجراءاته, بما في ذلك تحديد العوائد المستهدفة وآلية اتخاذ قرار الاستثمار ومتابعة أدائه والتخارج منه.</w:t>
      </w:r>
      <w:r w:rsidRPr="00D966CA">
        <w:rPr>
          <w:rFonts w:ascii="UICTFontTextStyleBody" w:hAnsi="UICTFontTextStyleBody" w:cs="Times New Roman"/>
          <w:kern w:val="0"/>
          <w:sz w:val="22"/>
          <w:szCs w:val="22"/>
          <w:rtl/>
          <w14:ligatures w14:val="none"/>
        </w:rPr>
        <w:br/>
        <w:t>2- وضع سياسة توزيع أرباح الصندوق.</w:t>
      </w:r>
      <w:r w:rsidRPr="00D966CA">
        <w:rPr>
          <w:rFonts w:ascii="UICTFontTextStyleBody" w:hAnsi="UICTFontTextStyleBody" w:cs="Times New Roman"/>
          <w:kern w:val="0"/>
          <w:sz w:val="22"/>
          <w:szCs w:val="22"/>
          <w:rtl/>
          <w14:ligatures w14:val="none"/>
        </w:rPr>
        <w:br/>
        <w:t>3- وضع إجراءات ونظم إدارة الأخطار.</w:t>
      </w:r>
      <w:r w:rsidRPr="00D966CA">
        <w:rPr>
          <w:rFonts w:ascii="UICTFontTextStyleBody" w:hAnsi="UICTFontTextStyleBody" w:cs="Times New Roman"/>
          <w:kern w:val="0"/>
          <w:sz w:val="22"/>
          <w:szCs w:val="22"/>
          <w:rtl/>
          <w14:ligatures w14:val="none"/>
        </w:rPr>
        <w:br/>
        <w:t>4- تحديد المعايير والسياسات المحاسبية لإعداد قوائم الصندوق المالية ومراجعتها، وتحديد بداية السنة المالية ونهايتها.</w:t>
      </w:r>
      <w:r w:rsidRPr="00D966CA">
        <w:rPr>
          <w:rFonts w:ascii="UICTFontTextStyleBody" w:hAnsi="UICTFontTextStyleBody" w:cs="Times New Roman"/>
          <w:kern w:val="0"/>
          <w:sz w:val="22"/>
          <w:szCs w:val="22"/>
          <w:rtl/>
          <w14:ligatures w14:val="none"/>
        </w:rPr>
        <w:br/>
        <w:t>5- الموافقة على عقد القروض وغير ذلك من صور المديونية، بما في ذلك إصدار الصكوك والسندات، وفقاً للضوابط التي يضعها في هذا الشأن.</w:t>
      </w:r>
      <w:r w:rsidRPr="00D966CA">
        <w:rPr>
          <w:rFonts w:ascii="UICTFontTextStyleBody" w:hAnsi="UICTFontTextStyleBody" w:cs="Times New Roman"/>
          <w:kern w:val="0"/>
          <w:sz w:val="22"/>
          <w:szCs w:val="22"/>
          <w:rtl/>
          <w14:ligatures w14:val="none"/>
        </w:rPr>
        <w:br/>
        <w:t xml:space="preserve">6- وضع ضوابط ترشيح ممثلي الصندوق وتعيينهم في مجالس إدارات الشركات والكيانات الأخرى التي يمتلكها الصندوق أو </w:t>
      </w:r>
      <w:r w:rsidRPr="00D966CA">
        <w:rPr>
          <w:rFonts w:ascii="UICTFontTextStyleBody" w:hAnsi="UICTFontTextStyleBody" w:cs="Times New Roman"/>
          <w:kern w:val="0"/>
          <w:sz w:val="22"/>
          <w:szCs w:val="22"/>
          <w:rtl/>
          <w14:ligatures w14:val="none"/>
        </w:rPr>
        <w:lastRenderedPageBreak/>
        <w:t>يساهم فيها، وتحديد مكافآتهم وحقوقهم وواجباتهم تجاه الصندوق.</w:t>
      </w:r>
      <w:r w:rsidRPr="00D966CA">
        <w:rPr>
          <w:rFonts w:ascii="UICTFontTextStyleBody" w:hAnsi="UICTFontTextStyleBody" w:cs="Times New Roman"/>
          <w:kern w:val="0"/>
          <w:sz w:val="22"/>
          <w:szCs w:val="22"/>
          <w:rtl/>
          <w14:ligatures w14:val="none"/>
        </w:rPr>
        <w:br/>
        <w:t>7- وضع السياسات والإجراءات الخاصة بالالتزام الضريبي.</w:t>
      </w:r>
      <w:r w:rsidRPr="00D966CA">
        <w:rPr>
          <w:rFonts w:ascii="UICTFontTextStyleBody" w:hAnsi="UICTFontTextStyleBody" w:cs="Times New Roman"/>
          <w:kern w:val="0"/>
          <w:sz w:val="22"/>
          <w:szCs w:val="22"/>
          <w:rtl/>
          <w14:ligatures w14:val="none"/>
        </w:rPr>
        <w:br/>
        <w:t>8- تحديد المفوضين بالتوقيع نيابة عن الصندوق.</w:t>
      </w:r>
      <w:r w:rsidRPr="00D966CA">
        <w:rPr>
          <w:rFonts w:ascii="UICTFontTextStyleBody" w:hAnsi="UICTFontTextStyleBody" w:cs="Times New Roman"/>
          <w:kern w:val="0"/>
          <w:sz w:val="22"/>
          <w:szCs w:val="22"/>
          <w:rtl/>
          <w14:ligatures w14:val="none"/>
        </w:rPr>
        <w:br/>
        <w:t>9- إقرار الإجراءات المنظمة للتواصل الإعلامي.</w:t>
      </w:r>
      <w:r w:rsidRPr="00D966CA">
        <w:rPr>
          <w:rFonts w:ascii="UICTFontTextStyleBody" w:hAnsi="UICTFontTextStyleBody" w:cs="Times New Roman"/>
          <w:kern w:val="0"/>
          <w:sz w:val="22"/>
          <w:szCs w:val="22"/>
          <w:rtl/>
          <w14:ligatures w14:val="none"/>
        </w:rPr>
        <w:br/>
        <w:t>10- إقرار لوائح الصندوق المالية والإدارية.</w:t>
      </w:r>
      <w:r w:rsidRPr="00D966CA">
        <w:rPr>
          <w:rFonts w:ascii="UICTFontTextStyleBody" w:hAnsi="UICTFontTextStyleBody" w:cs="Times New Roman"/>
          <w:kern w:val="0"/>
          <w:sz w:val="22"/>
          <w:szCs w:val="22"/>
          <w:rtl/>
          <w14:ligatures w14:val="none"/>
        </w:rPr>
        <w:br/>
        <w:t>11- إقرار هيكل الصندوق التنظيمي, وكيفية تنظيم وظائفه ومهماته وتوزيعها.</w:t>
      </w:r>
      <w:r w:rsidRPr="00D966CA">
        <w:rPr>
          <w:rFonts w:ascii="UICTFontTextStyleBody" w:hAnsi="UICTFontTextStyleBody" w:cs="Times New Roman"/>
          <w:kern w:val="0"/>
          <w:sz w:val="22"/>
          <w:szCs w:val="22"/>
          <w:rtl/>
          <w14:ligatures w14:val="none"/>
        </w:rPr>
        <w:br/>
        <w:t>12- الموافقة على موازنة الصندوق السنوية وتقريره السنوي.</w:t>
      </w:r>
      <w:r w:rsidRPr="00D966CA">
        <w:rPr>
          <w:rFonts w:ascii="UICTFontTextStyleBody" w:hAnsi="UICTFontTextStyleBody" w:cs="Times New Roman"/>
          <w:kern w:val="0"/>
          <w:sz w:val="22"/>
          <w:szCs w:val="22"/>
          <w:rtl/>
          <w14:ligatures w14:val="none"/>
        </w:rPr>
        <w:br/>
        <w:t xml:space="preserve">وللمجلس تشكيل لجان تابعة له يكل إليها أيًّا من مهماته ومسؤولياته وفق ما </w:t>
      </w:r>
      <w:proofErr w:type="spellStart"/>
      <w:r w:rsidRPr="00D966CA">
        <w:rPr>
          <w:rFonts w:ascii="UICTFontTextStyleBody" w:hAnsi="UICTFontTextStyleBody" w:cs="Times New Roman"/>
          <w:kern w:val="0"/>
          <w:sz w:val="22"/>
          <w:szCs w:val="22"/>
          <w:rtl/>
          <w14:ligatures w14:val="none"/>
        </w:rPr>
        <w:t>تقتضيه</w:t>
      </w:r>
      <w:proofErr w:type="spellEnd"/>
      <w:r w:rsidRPr="00D966CA">
        <w:rPr>
          <w:rFonts w:ascii="UICTFontTextStyleBody" w:hAnsi="UICTFontTextStyleBody" w:cs="Times New Roman"/>
          <w:kern w:val="0"/>
          <w:sz w:val="22"/>
          <w:szCs w:val="22"/>
          <w:rtl/>
          <w14:ligatures w14:val="none"/>
        </w:rPr>
        <w:t xml:space="preserve"> مصلحة العمل.</w:t>
      </w:r>
      <w:r w:rsidRPr="00D966CA">
        <w:rPr>
          <w:rFonts w:ascii="UICTFontTextStyleBody" w:hAnsi="UICTFontTextStyleBody" w:cs="Times New Roman"/>
          <w:kern w:val="0"/>
          <w:sz w:val="22"/>
          <w:szCs w:val="22"/>
          <w:rtl/>
          <w14:ligatures w14:val="none"/>
        </w:rPr>
        <w:br/>
        <w:t>وله تفويض المحافظ أو أيٍّ من موظفي الصندوق أيًّا من صلاحياته وفقاً للقواعد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المجلس أن يرفع إلى مجلس الشؤون الاقتصادية والتنمية القواعد والسياسات الداخلية التي تنظم المسائل المشار إليها في الفقرات (1) و(2) و(3) و(4) و(5) من المادة (السادسة) من النظام، والقواعد والإجراءات المنظمة لأعماله المشار إليها في المادة (الثامنة) من النظام، أو أي تعديل يُجرى عليها, وذلك قبل مدة لا تقل عن (خمسة عشر) يوماً، ولا تزيد على (ثلاثين) يومًا من التاريخ المحدد لبدء سريانها. ولمجلس الشؤون الاقتصادية والتنمية خلال تلك المدة أن يوجه المجلس بإجراء أي تعديل على تلك القواعد والسياسات وفق ما يراه مناسباً.</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يضع المجلس القواعد والإجراءات المنظمة لأعماله، وتشمل إجراءات الدعوة للاجتماعات وانعقادها، والأحكام الخاصة بالتصويت على القرارات سواءً خلال الاجتماعات أو بعرضها على أعضاء المجلس متفرقين، ويراعى في جميع الأحوال ألاَّ تقل اجتماعات المجلس عن مرة واحدة كل (تسعين) يوماً.</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المجلس أميناً عاماً له يتولى أعمال أمانة المجلس وأي مهمة أخرى توكل إليه. ويحدد المجلس ما يتقاضاه الأمين العام من مزايا مالية وفق ما تحدده القواعد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 موظفو الصندوق</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للصندوق محافظ بمرتبة وزير، وللمجلس في حال خلو منصب المحافظ أن يكلف شخصاً آخر بأعماله بصفة مؤقتة.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يحدد المجلس صلاحيات المحافظ ومسؤولياته ومهماته، على أن </w:t>
      </w:r>
      <w:r w:rsidRPr="00D966CA">
        <w:rPr>
          <w:rFonts w:ascii="UICTFontTextStyleEmphasizedBody" w:hAnsi="UICTFontTextStyleEmphasizedBody" w:cs="Times New Roman"/>
          <w:b/>
          <w:bCs/>
          <w:kern w:val="0"/>
          <w:sz w:val="22"/>
          <w:szCs w:val="22"/>
          <w:rtl/>
          <w14:ligatures w14:val="none"/>
        </w:rPr>
        <w:t>تشمل الآتي:</w:t>
      </w:r>
      <w:r w:rsidRPr="00D966CA">
        <w:rPr>
          <w:rFonts w:ascii="UICTFontTextStyleBody" w:hAnsi="UICTFontTextStyleBody" w:cs="Times New Roman"/>
          <w:kern w:val="0"/>
          <w:sz w:val="22"/>
          <w:szCs w:val="22"/>
          <w:rtl/>
          <w14:ligatures w14:val="none"/>
        </w:rPr>
        <w:br/>
        <w:t>1- تنفيذ قرارات المجلس.</w:t>
      </w:r>
      <w:r w:rsidRPr="00D966CA">
        <w:rPr>
          <w:rFonts w:ascii="UICTFontTextStyleBody" w:hAnsi="UICTFontTextStyleBody" w:cs="Times New Roman"/>
          <w:kern w:val="0"/>
          <w:sz w:val="22"/>
          <w:szCs w:val="22"/>
          <w:rtl/>
          <w14:ligatures w14:val="none"/>
        </w:rPr>
        <w:br/>
        <w:t>2- تمثيل الصندوق أمام الغير وأمام الجهات القضائية، وفق الصلاحيات الممنوحة له.</w:t>
      </w:r>
      <w:r w:rsidRPr="00D966CA">
        <w:rPr>
          <w:rFonts w:ascii="UICTFontTextStyleBody" w:hAnsi="UICTFontTextStyleBody" w:cs="Times New Roman"/>
          <w:kern w:val="0"/>
          <w:sz w:val="22"/>
          <w:szCs w:val="22"/>
          <w:rtl/>
          <w14:ligatures w14:val="none"/>
        </w:rPr>
        <w:br/>
        <w:t>3- الإشراف على إعداد القواعد والسياسات الداخلية وموازنة الصندوق السنوية وتقريره السنوي، وجميع المستندات الأخرى التي يلزم عرضها على المجلس.</w:t>
      </w:r>
      <w:r w:rsidRPr="00D966CA">
        <w:rPr>
          <w:rFonts w:ascii="UICTFontTextStyleBody" w:hAnsi="UICTFontTextStyleBody" w:cs="Times New Roman"/>
          <w:kern w:val="0"/>
          <w:sz w:val="22"/>
          <w:szCs w:val="22"/>
          <w:rtl/>
          <w14:ligatures w14:val="none"/>
        </w:rPr>
        <w:br/>
        <w:t>4- الإشراف على الشؤون الإدارية والمالية للصندوق والإشراف على موظفيه، والتثبت من توافق عمليات الصندوق وأنشطته مع القواعد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مراعاة القواعد والسياسات الداخلية ذات العلاقة, للمحافظ تفويض بعض موظفي الصندوق أو غيرهم في بعض صلاحياته, وفق ما </w:t>
      </w:r>
      <w:proofErr w:type="spellStart"/>
      <w:r w:rsidRPr="00D966CA">
        <w:rPr>
          <w:rFonts w:ascii="UICTFontTextStyleBody" w:hAnsi="UICTFontTextStyleBody" w:cs="Times New Roman"/>
          <w:kern w:val="0"/>
          <w:sz w:val="22"/>
          <w:szCs w:val="22"/>
          <w:rtl/>
          <w14:ligatures w14:val="none"/>
        </w:rPr>
        <w:t>تقتضيه</w:t>
      </w:r>
      <w:proofErr w:type="spellEnd"/>
      <w:r w:rsidRPr="00D966CA">
        <w:rPr>
          <w:rFonts w:ascii="UICTFontTextStyleBody" w:hAnsi="UICTFontTextStyleBody" w:cs="Times New Roman"/>
          <w:kern w:val="0"/>
          <w:sz w:val="22"/>
          <w:szCs w:val="22"/>
          <w:rtl/>
          <w14:ligatures w14:val="none"/>
        </w:rPr>
        <w:t xml:space="preserve"> مصلحة العمل.</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يخضع موظفو الصندوق عدا المحافظ لنظام العمل، ونظام التأمينات الاجتماعية.</w:t>
      </w:r>
      <w:r w:rsidRPr="00D966CA">
        <w:rPr>
          <w:rFonts w:ascii="UICTFontTextStyleBody" w:hAnsi="UICTFontTextStyleBody" w:cs="Times New Roman"/>
          <w:kern w:val="0"/>
          <w:sz w:val="22"/>
          <w:szCs w:val="22"/>
          <w:rtl/>
          <w14:ligatures w14:val="none"/>
        </w:rPr>
        <w:br/>
        <w:t>2- فيما عدا الحالات التي تحددها القواعد والسياسات الداخلية, لا يجوز لموظفي الصندوق ممارسة أي مهنة أو عمل آخر, بما في ذلك أن يشغلوا منصباً أو وظيفة في القطاعين العام والخاص.</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 السلوك المهني</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كل عضو في المجلس وموظف لدى الصندوق أن يفصح -بالكيفية المحددة في القواعد والسياسات الداخلية- عن استثماراته الشخصية وعن أي تغير يحدث عليها.</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عضو المجلس الذي تكون له مصلحة شخصية أو منفعة مباشرة أو غير مباشرة في أي أمر يعرض على المجلس أن يفصح للمجلس عن طبيعة هذه المصلحة أو المنفعة. وفي جميع الأحوال, لا يجوز لذلك العضو التصويت على القرار الذي يصدر في شأن ذلك الأمر.</w:t>
      </w:r>
      <w:r w:rsidRPr="00D966CA">
        <w:rPr>
          <w:rFonts w:ascii="UICTFontTextStyleBody" w:hAnsi="UICTFontTextStyleBody" w:cs="Times New Roman"/>
          <w:kern w:val="0"/>
          <w:sz w:val="22"/>
          <w:szCs w:val="22"/>
          <w:rtl/>
          <w14:ligatures w14:val="none"/>
        </w:rPr>
        <w:br/>
        <w:t>2- على موظف الصندوق الذي تكون له مصلحة شخصية أو منفعة مباشرة أو غير مباشرة في أي أمر يعرض عليه أثناء تأديته لمهماته أن يفصح عن طبيعة تلك المصلحة أو المنفعة, وفقاً للآلية التي تحددها القواعد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أعضاء المجلس وموظفي الصندوق عند تأديتهم لمهماتهم التصرف بحسن نية واجتهاد وبذل العناية اللازمة والحرص الواجب بما يحقق مصالح الصندوق.</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أعضاء المجلس وموظفي الصندوق إفشاء أي معلومة سرية أو الاستفادة من أي معلومة يحصلون عليها أو يطلعون عليها بمناسبة قيامهم بمهامهم حتى بعد انتهاء علاقتهم بالصندوق.</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القواعد والسياسات الداخلية الاستثمارات والأموال التي يجوز لأعضاء المجلس وموظفي الصندوق الاستثمار فيها لحسابهم الخاص, على أن يراعى في ذلك طبيعة الاستثمار ونوعه بما يكفل عدم تعارض المصالح وغير ذلك من الممارسات غير السليمة.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هذا الفصل, تحدد القواعد والسياسات الداخلية الأحكام المنظمة للسلوك المهني لأعضاء المجلس وموظفي الصندوق بما يكفل التوافق مع الممارسات المهنية والسلوكية السليمة, وتحدد تلك الأحكام التبعات المترتبة على المخالفات السلوكية والمهنية التي يرتكبها أيٌّ من أعضاء المجلس أو موظفي الصندوق.</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 شؤون الصندوق المالية وعملياته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تكون للصندوق ميزانية سنوية تمول من موارده المالية. </w:t>
      </w:r>
      <w:r w:rsidRPr="00D966CA">
        <w:rPr>
          <w:rFonts w:ascii="UICTFontTextStyleBody" w:hAnsi="UICTFontTextStyleBody" w:cs="Times New Roman"/>
          <w:kern w:val="0"/>
          <w:sz w:val="22"/>
          <w:szCs w:val="22"/>
          <w:rtl/>
          <w14:ligatures w14:val="none"/>
        </w:rPr>
        <w:br/>
        <w:t>2- تتكون موارد الصندوق المالية من الآتي:</w:t>
      </w:r>
      <w:r w:rsidRPr="00D966CA">
        <w:rPr>
          <w:rFonts w:ascii="UICTFontTextStyleBody" w:hAnsi="UICTFontTextStyleBody" w:cs="Times New Roman"/>
          <w:kern w:val="0"/>
          <w:sz w:val="22"/>
          <w:szCs w:val="22"/>
          <w:rtl/>
          <w14:ligatures w14:val="none"/>
        </w:rPr>
        <w:br/>
        <w:t>أ- العوائد الناتجة من أصوله واستثماراته.</w:t>
      </w:r>
      <w:r w:rsidRPr="00D966CA">
        <w:rPr>
          <w:rFonts w:ascii="UICTFontTextStyleBody" w:hAnsi="UICTFontTextStyleBody" w:cs="Times New Roman"/>
          <w:kern w:val="0"/>
          <w:sz w:val="22"/>
          <w:szCs w:val="22"/>
          <w:rtl/>
          <w14:ligatures w14:val="none"/>
        </w:rPr>
        <w:br/>
        <w:t>ب- المساهمات النقدية والعينية التي تقدمها إليه الدولة.</w:t>
      </w:r>
      <w:r w:rsidRPr="00D966CA">
        <w:rPr>
          <w:rFonts w:ascii="UICTFontTextStyleBody" w:hAnsi="UICTFontTextStyleBody" w:cs="Times New Roman"/>
          <w:kern w:val="0"/>
          <w:sz w:val="22"/>
          <w:szCs w:val="22"/>
          <w:rtl/>
          <w14:ligatures w14:val="none"/>
        </w:rPr>
        <w:br/>
        <w:t>ج- الأموال التي يقترضها.</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الصندوق الاحتفاظ بسجلات وافية لجميع تعاملاته وعملياته واستثماراته وذلك وفق القواعد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قوائم الصندوق المالية وتراجع وفقاً للمعايير والسياسات المحاسبية التي يحددها المجلس, ويراجعها مراجع حسابات خارجي يعينه المجلس.</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الجهات الرقابية المختصة عند إجرائها أي مراجعة على عمليات الصندوق وحساباته، الالتزام بأحكام النظام والقواعد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 التقرير السنوي</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على المجلس -خلال مائة وخمسين يوماً من نهاية السنة المالية للصندوق- أن يرفع إلى مجلس الشؤون الاقتصادية والتنمية تقريراً مفصلاً عن عمليات الصندوق ونشاطاته, على أن يتضمن التقرير -بحد أدنى- </w:t>
      </w:r>
      <w:r w:rsidRPr="00D966CA">
        <w:rPr>
          <w:rFonts w:ascii="UICTFontTextStyleEmphasizedBody" w:hAnsi="UICTFontTextStyleEmphasizedBody" w:cs="Times New Roman"/>
          <w:b/>
          <w:bCs/>
          <w:kern w:val="0"/>
          <w:sz w:val="22"/>
          <w:szCs w:val="22"/>
          <w:rtl/>
          <w14:ligatures w14:val="none"/>
        </w:rPr>
        <w:t>المعلومات الآتية</w:t>
      </w:r>
      <w:r w:rsidRPr="00D966CA">
        <w:rPr>
          <w:rFonts w:ascii="UICTFontTextStyleBody" w:hAnsi="UICTFontTextStyleBody" w:cs="Times New Roman"/>
          <w:kern w:val="0"/>
          <w:sz w:val="22"/>
          <w:szCs w:val="22"/>
          <w:rtl/>
          <w14:ligatures w14:val="none"/>
        </w:rPr>
        <w:t>:</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1- الحساب الختامي للسنة المالية المنقضية.</w:t>
      </w:r>
      <w:r w:rsidRPr="00D966CA">
        <w:rPr>
          <w:rFonts w:ascii="UICTFontTextStyleBody" w:hAnsi="UICTFontTextStyleBody" w:cs="Times New Roman"/>
          <w:kern w:val="0"/>
          <w:sz w:val="22"/>
          <w:szCs w:val="22"/>
          <w:rtl/>
          <w14:ligatures w14:val="none"/>
        </w:rPr>
        <w:br/>
        <w:t>2- بيان بأصول الصندوق واستثماراته, مع تفصيل بأدائها خلال السنة المالية المنقضية.</w:t>
      </w:r>
      <w:r w:rsidRPr="00D966CA">
        <w:rPr>
          <w:rFonts w:ascii="UICTFontTextStyleBody" w:hAnsi="UICTFontTextStyleBody" w:cs="Times New Roman"/>
          <w:kern w:val="0"/>
          <w:sz w:val="22"/>
          <w:szCs w:val="22"/>
          <w:rtl/>
          <w14:ligatures w14:val="none"/>
        </w:rPr>
        <w:br/>
        <w:t>3- القوائم المالية المراجعة للصندوق.</w:t>
      </w:r>
      <w:r w:rsidRPr="00D966CA">
        <w:rPr>
          <w:rFonts w:ascii="UICTFontTextStyleBody" w:hAnsi="UICTFontTextStyleBody" w:cs="Times New Roman"/>
          <w:kern w:val="0"/>
          <w:sz w:val="22"/>
          <w:szCs w:val="22"/>
          <w:rtl/>
          <w14:ligatures w14:val="none"/>
        </w:rPr>
        <w:br/>
        <w:t>4- بيان بجميع التعويضات التي حصل عليها أعضاء المجلس.</w:t>
      </w:r>
      <w:r w:rsidRPr="00D966CA">
        <w:rPr>
          <w:rFonts w:ascii="UICTFontTextStyleBody" w:hAnsi="UICTFontTextStyleBody" w:cs="Times New Roman"/>
          <w:kern w:val="0"/>
          <w:sz w:val="22"/>
          <w:szCs w:val="22"/>
          <w:rtl/>
          <w14:ligatures w14:val="none"/>
        </w:rPr>
        <w:br/>
        <w:t>5- أي معلومة أو بيان آخر يطلبه مجلس الشؤون الاقتصادية والتنمية.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الشؤون الاقتصادية والتنمية -بعد اطلاعه على التقرير المشار إليه في المادة (الرابعة والعشرين) من النظام- أن يوجه المجلس باتخاذ أي إجراء يرى مناسبته.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نشر التقرير (أو جزء منه) المشار إليه في المادة (الرابعة والعشرين) من النظام، وله كذلك نشر أي تقرير أو معلومة أخرى في شأن عمليات الصندوق ونشاطاته.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 أحكام ختامية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للصندوق إبرام العقود والاتفاقات -داخل المملكة أو خارجها- بغير اللغة العربية وفق ما </w:t>
      </w:r>
      <w:proofErr w:type="spellStart"/>
      <w:r w:rsidRPr="00D966CA">
        <w:rPr>
          <w:rFonts w:ascii="UICTFontTextStyleBody" w:hAnsi="UICTFontTextStyleBody" w:cs="Times New Roman"/>
          <w:kern w:val="0"/>
          <w:sz w:val="22"/>
          <w:szCs w:val="22"/>
          <w:rtl/>
          <w14:ligatures w14:val="none"/>
        </w:rPr>
        <w:t>تقتضيه</w:t>
      </w:r>
      <w:proofErr w:type="spellEnd"/>
      <w:r w:rsidRPr="00D966CA">
        <w:rPr>
          <w:rFonts w:ascii="UICTFontTextStyleBody" w:hAnsi="UICTFontTextStyleBody" w:cs="Times New Roman"/>
          <w:kern w:val="0"/>
          <w:sz w:val="22"/>
          <w:szCs w:val="22"/>
          <w:rtl/>
          <w14:ligatures w14:val="none"/>
        </w:rPr>
        <w:t xml:space="preserve"> حاجة العمل ومصلحة الصندوق.</w:t>
      </w:r>
      <w:r w:rsidRPr="00D966CA">
        <w:rPr>
          <w:rFonts w:ascii="UICTFontTextStyleBody" w:hAnsi="UICTFontTextStyleBody" w:cs="Times New Roman"/>
          <w:kern w:val="0"/>
          <w:sz w:val="22"/>
          <w:szCs w:val="22"/>
          <w:rtl/>
          <w14:ligatures w14:val="none"/>
        </w:rPr>
        <w:br/>
        <w:t>2- تخضع عقود الصندوق واتفاقاته لأنظمة المملكة، إلاَّ ما تقتضي مصلحة الصندوق إخضاعه منها لاختصاص محاكم أجنبية أو للتحكيم, وذلك في ضوء ما تحدده القواعد والسياسات الداخلية.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يؤثر صدور النظام في حقوق الصندوق والتزاماته الناشئة قبل تاريخ العمل به.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الشركات التي يؤسسها الصندوق في المملكة أو يشارك في تأسيسها لنظام الشركات، وللمجلس -بقرار منه- تضمين عقد التأسيس أو نظام الشركة الأساس للشركات التي يملك الصندوق فيها نسبة أكثر من (50%) بعض الاستثناءات من أحكام نظام الشركات, ويكون الترخيص بتأسيس تلك الشركات بقرار من وزارة التجارة والاستثمار وفقًا لنظام الشركات.</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حلُّ الصندوق أو تصفيته إلا بمرسوم ملكي، وتسمع الدعاوى المتعلقة بذلك لدى الجهة القضائية المختصة.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صندوق الاستثمارات العامة, الصادر بالمرسوم الملكي رقم (م / 24) وتاريخ 25 / 6 / 1391هـ.</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من تاريخ نشره في الجريدة الرسمية.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المنافسة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بالمصطلحات الآتية -أينما وردت في هذا النظام- المعاني المبينة أمام كل منها، ما لم يقتض السياق غير 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المنافسة.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الهيئة العامة للمنافسة.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الرئيس</w:t>
      </w:r>
      <w:r w:rsidRPr="00D966CA">
        <w:rPr>
          <w:rFonts w:ascii="UICTFontTextStyleBody" w:hAnsi="UICTFontTextStyleBody" w:cs="Times New Roman"/>
          <w:kern w:val="0"/>
          <w:sz w:val="22"/>
          <w:szCs w:val="22"/>
          <w:rtl/>
          <w14:ligatures w14:val="none"/>
        </w:rPr>
        <w:t>: رئيس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المحافظ</w:t>
      </w:r>
      <w:r w:rsidRPr="00D966CA">
        <w:rPr>
          <w:rFonts w:ascii="UICTFontTextStyleBody" w:hAnsi="UICTFontTextStyleBody" w:cs="Times New Roman"/>
          <w:kern w:val="0"/>
          <w:sz w:val="22"/>
          <w:szCs w:val="22"/>
          <w:rtl/>
          <w14:ligatures w14:val="none"/>
        </w:rPr>
        <w:t>: محافظ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المنشأة</w:t>
      </w:r>
      <w:r w:rsidRPr="00D966CA">
        <w:rPr>
          <w:rFonts w:ascii="UICTFontTextStyleBody" w:hAnsi="UICTFontTextStyleBody" w:cs="Times New Roman"/>
          <w:kern w:val="0"/>
          <w:sz w:val="22"/>
          <w:szCs w:val="22"/>
          <w:rtl/>
          <w14:ligatures w14:val="none"/>
        </w:rPr>
        <w:t>: كل شخص ذي صفة طبيعية أو اعتبارية يمارس نشاطاً اقتصادياً. ويشمل النشاط: الأعمال التجارية، والزراعية، والصناعية، والخدمية، وشراء السلع والخدمات، وبيعها.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السوق</w:t>
      </w:r>
      <w:r w:rsidRPr="00D966CA">
        <w:rPr>
          <w:rFonts w:ascii="UICTFontTextStyleBody" w:hAnsi="UICTFontTextStyleBody" w:cs="Times New Roman"/>
          <w:kern w:val="0"/>
          <w:sz w:val="22"/>
          <w:szCs w:val="22"/>
          <w:rtl/>
          <w14:ligatures w14:val="none"/>
        </w:rPr>
        <w:t>: مكان أو وسيلة يلتقي فيه مجموعة من المشترين والبائعين الحاليين والمرتقبين خلال مدة زمنية محددة.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الوضع المهيمن</w:t>
      </w:r>
      <w:r w:rsidRPr="00D966CA">
        <w:rPr>
          <w:rFonts w:ascii="UICTFontTextStyleBody" w:hAnsi="UICTFontTextStyleBody" w:cs="Times New Roman"/>
          <w:kern w:val="0"/>
          <w:sz w:val="22"/>
          <w:szCs w:val="22"/>
          <w:rtl/>
          <w14:ligatures w14:val="none"/>
        </w:rPr>
        <w:t>: وضع تكون من خلاله المنشأة - أو مجموعة منشآت - مسيطرة على نسبة معينة من السوق التي تمارس نشاطها فيها أو قادرة على التأثير فيها، أو بهما معاً، وتحدد اللائحة تلك النسبة وفقاً لمعايير يقرها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التركز الاقتصادي</w:t>
      </w:r>
      <w:r w:rsidRPr="00D966CA">
        <w:rPr>
          <w:rFonts w:ascii="UICTFontTextStyleBody" w:hAnsi="UICTFontTextStyleBody" w:cs="Times New Roman"/>
          <w:kern w:val="0"/>
          <w:sz w:val="22"/>
          <w:szCs w:val="22"/>
          <w:rtl/>
          <w14:ligatures w14:val="none"/>
        </w:rPr>
        <w:t>: كل عمل ينشأ منه نقل كلي أو جزئي لملكية أصول أو حقوق أو أسهم أو حصص أو التزامات منشأة إلى منشأة أخرى، أو الجمع بين إدارتين أو أكثر في إدارة مشتركة، وذلك وفقاً لما تحدده اللائحة من ضوابط ومعايير.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اللجنة</w:t>
      </w:r>
      <w:r w:rsidRPr="00D966CA">
        <w:rPr>
          <w:rFonts w:ascii="UICTFontTextStyleBody" w:hAnsi="UICTFontTextStyleBody" w:cs="Times New Roman"/>
          <w:kern w:val="0"/>
          <w:sz w:val="22"/>
          <w:szCs w:val="22"/>
          <w:rtl/>
          <w14:ligatures w14:val="none"/>
        </w:rPr>
        <w:t>: لجنة الفصل في مخالفات النظام.</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حماية المنافسة الــعادلة وتشجيعها، ومكافحة ومنع الممارسات الاحتكارية التي تؤثر على المنافسة المشروعة أو على مصلحة المستهلك؛ بما يؤدي إلى تحسين بيئة السوق وتنمية الاقتصاد.</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عدم الاخلال بما ورد في الأنظمة الأخرى, تطبق أحكام النظام على ما يأتي:</w:t>
      </w:r>
      <w:r w:rsidRPr="00D966CA">
        <w:rPr>
          <w:rFonts w:ascii="UICTFontTextStyleBody" w:hAnsi="UICTFontTextStyleBody" w:cs="Times New Roman"/>
          <w:kern w:val="0"/>
          <w:sz w:val="22"/>
          <w:szCs w:val="22"/>
          <w:rtl/>
          <w14:ligatures w14:val="none"/>
        </w:rPr>
        <w:br/>
        <w:t>أ- جميع المنشآت داخل المملكة.</w:t>
      </w:r>
      <w:r w:rsidRPr="00D966CA">
        <w:rPr>
          <w:rFonts w:ascii="UICTFontTextStyleBody" w:hAnsi="UICTFontTextStyleBody" w:cs="Times New Roman"/>
          <w:kern w:val="0"/>
          <w:sz w:val="22"/>
          <w:szCs w:val="22"/>
          <w:rtl/>
          <w14:ligatures w14:val="none"/>
        </w:rPr>
        <w:br/>
        <w:t>ب- الممارسات التي تقع خارج المملكة, ذات الأثر المخل بالمنافسة العادلة داخل المملكة وفقاً لأحكام النظام.</w:t>
      </w:r>
      <w:r w:rsidRPr="00D966CA">
        <w:rPr>
          <w:rFonts w:ascii="UICTFontTextStyleBody" w:hAnsi="UICTFontTextStyleBody" w:cs="Times New Roman"/>
          <w:kern w:val="0"/>
          <w:sz w:val="22"/>
          <w:szCs w:val="22"/>
          <w:rtl/>
          <w14:ligatures w14:val="none"/>
        </w:rPr>
        <w:br/>
        <w:t>2- يستـثـنى من الفقرة (1) من هذه المادة المؤسسات العامة والشركات المملوكة للدولة إن كانت المؤسسة أو الشركة مخوّلة وحدها من الحكومة بتقديم السلع أو الخدمات في مجال معين.</w:t>
      </w:r>
      <w:r w:rsidRPr="00D966CA">
        <w:rPr>
          <w:rFonts w:ascii="UICTFontTextStyleBody" w:hAnsi="UICTFontTextStyleBody" w:cs="Times New Roman"/>
          <w:kern w:val="0"/>
          <w:sz w:val="22"/>
          <w:szCs w:val="22"/>
          <w:rtl/>
          <w14:ligatures w14:val="none"/>
        </w:rPr>
        <w:br/>
        <w:t>3- تعد الهيئة صاحبة الاختصاص الأصيل فيما قد ينشأ عند تطبيق أحكام النظام من تعارض أو تداخل مع اختصاصات الأجهزة الحكومية الأخرى.</w:t>
      </w:r>
      <w:r w:rsidRPr="00D966CA">
        <w:rPr>
          <w:rFonts w:ascii="UICTFontTextStyleBody" w:hAnsi="UICTFontTextStyleBody" w:cs="Times New Roman"/>
          <w:kern w:val="0"/>
          <w:sz w:val="22"/>
          <w:szCs w:val="22"/>
          <w:rtl/>
          <w14:ligatures w14:val="none"/>
        </w:rPr>
        <w:br/>
        <w:t>وتحدد اللائحة الضوابط الواجب مراعاتها في تطبيق هذه المادة.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أسعار السلع والخدمات وفقاً لقواعد السوق ومبادئ المنافسة الحرة، عدا أسعار السلع والخدمات التي تحدد بناءً على قرار من مجلس الوزراء، أو بموجب نظام.</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تحظر الممارسات -ومنها الاتفاقيات أو العقود بين المنشآت، سواء أكانت مكتوبة أم شفهية، وصريحة كانت أم ضمنية- إن كان الهدف منها أو الأثر المترتب عليهـــا؛ الإخــــلال بالمنافســـة، وبخاصة ما يأتي:</w:t>
      </w:r>
      <w:r w:rsidRPr="00D966CA">
        <w:rPr>
          <w:rFonts w:ascii="UICTFontTextStyleBody" w:hAnsi="UICTFontTextStyleBody" w:cs="Times New Roman"/>
          <w:kern w:val="0"/>
          <w:sz w:val="22"/>
          <w:szCs w:val="22"/>
          <w:rtl/>
          <w14:ligatures w14:val="none"/>
        </w:rPr>
        <w:br/>
        <w:t>1- تحديد أو اقتراح أسعار السلع وبدل الخدمات وشروط البيع أو الشراء وما في حكمها.</w:t>
      </w:r>
      <w:r w:rsidRPr="00D966CA">
        <w:rPr>
          <w:rFonts w:ascii="UICTFontTextStyleBody" w:hAnsi="UICTFontTextStyleBody" w:cs="Times New Roman"/>
          <w:kern w:val="0"/>
          <w:sz w:val="22"/>
          <w:szCs w:val="22"/>
          <w:rtl/>
          <w14:ligatures w14:val="none"/>
        </w:rPr>
        <w:br/>
        <w:t>2- تحديد أحجام أو أوزان أو كميات إنتاج السلع أو أداء الخدمات.</w:t>
      </w:r>
      <w:r w:rsidRPr="00D966CA">
        <w:rPr>
          <w:rFonts w:ascii="UICTFontTextStyleBody" w:hAnsi="UICTFontTextStyleBody" w:cs="Times New Roman"/>
          <w:kern w:val="0"/>
          <w:sz w:val="22"/>
          <w:szCs w:val="22"/>
          <w:rtl/>
          <w14:ligatures w14:val="none"/>
        </w:rPr>
        <w:br/>
        <w:t>3- الحد من حرية تدفق السلع والخدمات إلى الأسواق، أو إخراجها منها بصفة كلية أو جزئية، وذلك من خلال إخفائها، أو تخزينها دون وجه حق، أو الامتناع عن التعامل فيها.</w:t>
      </w:r>
      <w:r w:rsidRPr="00D966CA">
        <w:rPr>
          <w:rFonts w:ascii="UICTFontTextStyleBody" w:hAnsi="UICTFontTextStyleBody" w:cs="Times New Roman"/>
          <w:kern w:val="0"/>
          <w:sz w:val="22"/>
          <w:szCs w:val="22"/>
          <w:rtl/>
          <w14:ligatures w14:val="none"/>
        </w:rPr>
        <w:br/>
        <w:t>4- أي سلوك يؤدي إلى عرقلة دخول منشأة للسوق أو إقصائها منها.</w:t>
      </w:r>
      <w:r w:rsidRPr="00D966CA">
        <w:rPr>
          <w:rFonts w:ascii="UICTFontTextStyleBody" w:hAnsi="UICTFontTextStyleBody" w:cs="Times New Roman"/>
          <w:kern w:val="0"/>
          <w:sz w:val="22"/>
          <w:szCs w:val="22"/>
          <w:rtl/>
          <w14:ligatures w14:val="none"/>
        </w:rPr>
        <w:br/>
        <w:t>5- حجب السلع والخدمات المتاحة في السوق بصفة كلية أو جزئية عن منشأة أو منشآت معينة.</w:t>
      </w:r>
      <w:r w:rsidRPr="00D966CA">
        <w:rPr>
          <w:rFonts w:ascii="UICTFontTextStyleBody" w:hAnsi="UICTFontTextStyleBody" w:cs="Times New Roman"/>
          <w:kern w:val="0"/>
          <w:sz w:val="22"/>
          <w:szCs w:val="22"/>
          <w:rtl/>
          <w14:ligatures w14:val="none"/>
        </w:rPr>
        <w:br/>
        <w:t>6- تقسيم الأسواق لبيع السلع والخدمات أو شرائها، أو تخصيصها وفقاً لأي معيار، وبخاصة المعايير الآتية:</w:t>
      </w:r>
      <w:r w:rsidRPr="00D966CA">
        <w:rPr>
          <w:rFonts w:ascii="UICTFontTextStyleBody" w:hAnsi="UICTFontTextStyleBody" w:cs="Times New Roman"/>
          <w:kern w:val="0"/>
          <w:sz w:val="22"/>
          <w:szCs w:val="22"/>
          <w:rtl/>
          <w14:ligatures w14:val="none"/>
        </w:rPr>
        <w:br/>
        <w:t>أ- المناطق الجغرافية.</w:t>
      </w:r>
      <w:r w:rsidRPr="00D966CA">
        <w:rPr>
          <w:rFonts w:ascii="UICTFontTextStyleBody" w:hAnsi="UICTFontTextStyleBody" w:cs="Times New Roman"/>
          <w:kern w:val="0"/>
          <w:sz w:val="22"/>
          <w:szCs w:val="22"/>
          <w:rtl/>
          <w14:ligatures w14:val="none"/>
        </w:rPr>
        <w:br/>
        <w:t>ب- مراكز التوزيع.</w:t>
      </w:r>
      <w:r w:rsidRPr="00D966CA">
        <w:rPr>
          <w:rFonts w:ascii="UICTFontTextStyleBody" w:hAnsi="UICTFontTextStyleBody" w:cs="Times New Roman"/>
          <w:kern w:val="0"/>
          <w:sz w:val="22"/>
          <w:szCs w:val="22"/>
          <w:rtl/>
          <w14:ligatures w14:val="none"/>
        </w:rPr>
        <w:br/>
        <w:t>ج- نوعية العملاء.</w:t>
      </w:r>
      <w:r w:rsidRPr="00D966CA">
        <w:rPr>
          <w:rFonts w:ascii="UICTFontTextStyleBody" w:hAnsi="UICTFontTextStyleBody" w:cs="Times New Roman"/>
          <w:kern w:val="0"/>
          <w:sz w:val="22"/>
          <w:szCs w:val="22"/>
          <w:rtl/>
          <w14:ligatures w14:val="none"/>
        </w:rPr>
        <w:br/>
        <w:t>د- المواسم والمدد الزمنية.</w:t>
      </w:r>
      <w:r w:rsidRPr="00D966CA">
        <w:rPr>
          <w:rFonts w:ascii="UICTFontTextStyleBody" w:hAnsi="UICTFontTextStyleBody" w:cs="Times New Roman"/>
          <w:kern w:val="0"/>
          <w:sz w:val="22"/>
          <w:szCs w:val="22"/>
          <w:rtl/>
          <w14:ligatures w14:val="none"/>
        </w:rPr>
        <w:br/>
        <w:t>7- تجميد عمليات التصنيع والتطوير والتوزيع والتسويق وجميع أوجه الاستثمار الأخرى، أو الحد من ذلك.</w:t>
      </w:r>
      <w:r w:rsidRPr="00D966CA">
        <w:rPr>
          <w:rFonts w:ascii="UICTFontTextStyleBody" w:hAnsi="UICTFontTextStyleBody" w:cs="Times New Roman"/>
          <w:kern w:val="0"/>
          <w:sz w:val="22"/>
          <w:szCs w:val="22"/>
          <w:rtl/>
          <w14:ligatures w14:val="none"/>
        </w:rPr>
        <w:br/>
        <w:t>8- التواطؤ أو التنسيق في العطاءات أو العروض في المزايدات والمنافسات الحكومية أو غيرها بما يخل بالمنافسة.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المنــشــأة أو المنشآت التي تتمتع بوضع مهيمن في السوق أو جزء مهم منه؛ إساءة استغلال هذا الوضع للإخلال بالمنافسة أو الحد منها، ومن ذلك ما يأتي:</w:t>
      </w:r>
      <w:r w:rsidRPr="00D966CA">
        <w:rPr>
          <w:rFonts w:ascii="UICTFontTextStyleBody" w:hAnsi="UICTFontTextStyleBody" w:cs="Times New Roman"/>
          <w:kern w:val="0"/>
          <w:sz w:val="22"/>
          <w:szCs w:val="22"/>
          <w:rtl/>
          <w14:ligatures w14:val="none"/>
        </w:rPr>
        <w:br/>
        <w:t>1- بيع السلعة أو الخدمة بسعر أقل من التكلفة الإجمالية؛ لإخراج منشآت من السوق أو تعريضها لخسائر جسيمة، أو إعاقة دخول منشآت محتملة.</w:t>
      </w:r>
      <w:r w:rsidRPr="00D966CA">
        <w:rPr>
          <w:rFonts w:ascii="UICTFontTextStyleBody" w:hAnsi="UICTFontTextStyleBody" w:cs="Times New Roman"/>
          <w:kern w:val="0"/>
          <w:sz w:val="22"/>
          <w:szCs w:val="22"/>
          <w:rtl/>
          <w14:ligatures w14:val="none"/>
        </w:rPr>
        <w:br/>
        <w:t>2- تحديد أسعار أو شروط إعادة بيع السلع أو الخدمات، أو فرضها.</w:t>
      </w:r>
      <w:r w:rsidRPr="00D966CA">
        <w:rPr>
          <w:rFonts w:ascii="UICTFontTextStyleBody" w:hAnsi="UICTFontTextStyleBody" w:cs="Times New Roman"/>
          <w:kern w:val="0"/>
          <w:sz w:val="22"/>
          <w:szCs w:val="22"/>
          <w:rtl/>
          <w14:ligatures w14:val="none"/>
        </w:rPr>
        <w:br/>
        <w:t>3- تقليل الكميات المتاحة من المنتجات أو زيادتها؛ لأجل التحكم بالأسعار وافتعال وفرة أو عجز غير حقيقي.</w:t>
      </w:r>
      <w:r w:rsidRPr="00D966CA">
        <w:rPr>
          <w:rFonts w:ascii="UICTFontTextStyleBody" w:hAnsi="UICTFontTextStyleBody" w:cs="Times New Roman"/>
          <w:kern w:val="0"/>
          <w:sz w:val="22"/>
          <w:szCs w:val="22"/>
          <w:rtl/>
          <w14:ligatures w14:val="none"/>
        </w:rPr>
        <w:br/>
        <w:t>4- التمييز في التعامل بين المنشآت في العقود المتشابهة بالنسبة إلى أسعار السلع وبدل الخدمات أو شروط بيعها وشرائها.</w:t>
      </w:r>
      <w:r w:rsidRPr="00D966CA">
        <w:rPr>
          <w:rFonts w:ascii="UICTFontTextStyleBody" w:hAnsi="UICTFontTextStyleBody" w:cs="Times New Roman"/>
          <w:kern w:val="0"/>
          <w:sz w:val="22"/>
          <w:szCs w:val="22"/>
          <w:rtl/>
          <w14:ligatures w14:val="none"/>
        </w:rPr>
        <w:br/>
        <w:t>5- رفض التعامل مع منشأة أخرى دون سبب موضوعي، وذلك من أجل الحد من دخولها السوق.</w:t>
      </w:r>
      <w:r w:rsidRPr="00D966CA">
        <w:rPr>
          <w:rFonts w:ascii="UICTFontTextStyleBody" w:hAnsi="UICTFontTextStyleBody" w:cs="Times New Roman"/>
          <w:kern w:val="0"/>
          <w:sz w:val="22"/>
          <w:szCs w:val="22"/>
          <w:rtl/>
          <w14:ligatures w14:val="none"/>
        </w:rPr>
        <w:br/>
        <w:t>6- الاشتراط على منشأة الامتناع عن التعامل مع منشأة أخرى.</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7- تعليق بيع سلعة أو تقديم خدمة بشرط تحمّل التزامات أو قبول سلع  أو خدمات تكون بطبيعتها، أو بموجب الاستخدام التجاري، غير مرتبطة بالسلعة أو الخدمة محل التعاقد أو التعامل الأصلي.</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المنشآت الراغبة في المشاركة في عملية التركز الاقتصادي إبلاغ الهيئة قبل (تسعين) يوماً على الأقل من إتمامها إن تجاوز إجمالي قيمة المبيعات السنوية للمنشآت الراغبة في المشاركة في التركز الاقتصادي مبلغاً تحدده اللائحة.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للمجلس -بناء على توصية من لجنة فنية يشكلها لهذا الغرض- الموافقة على طلب المنشأة إعفاءها من أي حكم من أحكام المواد (الخامسة) و(السادسة) و(السابعة) من النظام، إن كان من شأن ذلك أن يؤدي إلى تحسن أداء السوق، أو تحسين أداء المنشآت من حيث جودة المنتج أو التطور التقني أو الكفاية الإبداعية أو بهما معاً، على أن يحقق ذلك فائدة للمستهلك تفوق آثار الحد من حرية المنافسة، وذلك وفقاً للشروط والضوابط التي تحددها اللائحة.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تحدد اللائحة الإجراءات الواجب اتباعها للإبلاغ عن التركز الاقتصادي، بما في ذلك محتواه والمعلومات والمستندات المطلوبة.</w:t>
      </w:r>
      <w:r w:rsidRPr="00D966CA">
        <w:rPr>
          <w:rFonts w:ascii="UICTFontTextStyleBody" w:hAnsi="UICTFontTextStyleBody" w:cs="Times New Roman"/>
          <w:kern w:val="0"/>
          <w:sz w:val="22"/>
          <w:szCs w:val="22"/>
          <w:rtl/>
          <w14:ligatures w14:val="none"/>
        </w:rPr>
        <w:br/>
        <w:t>2- للهيئة الاطلاع على جميع السجلات والبيانات والملفات والوثائق لدى المنشآت المعنية بالتركز الاقتصادي، والحصول على صور منها.</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قراراً في شأن بلاغات التركز الاقتصادي بأحد الأشكال الآتية:</w:t>
      </w:r>
      <w:r w:rsidRPr="00D966CA">
        <w:rPr>
          <w:rFonts w:ascii="UICTFontTextStyleBody" w:hAnsi="UICTFontTextStyleBody" w:cs="Times New Roman"/>
          <w:kern w:val="0"/>
          <w:sz w:val="22"/>
          <w:szCs w:val="22"/>
          <w:rtl/>
          <w14:ligatures w14:val="none"/>
        </w:rPr>
        <w:br/>
        <w:t>1- الموافقة.</w:t>
      </w:r>
      <w:r w:rsidRPr="00D966CA">
        <w:rPr>
          <w:rFonts w:ascii="UICTFontTextStyleBody" w:hAnsi="UICTFontTextStyleBody" w:cs="Times New Roman"/>
          <w:kern w:val="0"/>
          <w:sz w:val="22"/>
          <w:szCs w:val="22"/>
          <w:rtl/>
          <w14:ligatures w14:val="none"/>
        </w:rPr>
        <w:br/>
        <w:t>2- الموافقة المشروطة.</w:t>
      </w:r>
      <w:r w:rsidRPr="00D966CA">
        <w:rPr>
          <w:rFonts w:ascii="UICTFontTextStyleBody" w:hAnsi="UICTFontTextStyleBody" w:cs="Times New Roman"/>
          <w:kern w:val="0"/>
          <w:sz w:val="22"/>
          <w:szCs w:val="22"/>
          <w:rtl/>
          <w14:ligatures w14:val="none"/>
        </w:rPr>
        <w:br/>
        <w:t>3- الرفض.</w:t>
      </w:r>
      <w:r w:rsidRPr="00D966CA">
        <w:rPr>
          <w:rFonts w:ascii="UICTFontTextStyleBody" w:hAnsi="UICTFontTextStyleBody" w:cs="Times New Roman"/>
          <w:kern w:val="0"/>
          <w:sz w:val="22"/>
          <w:szCs w:val="22"/>
          <w:rtl/>
          <w14:ligatures w14:val="none"/>
        </w:rPr>
        <w:br/>
        <w:t>ويتعين أن يكون القرار الصادر بالموافقة المشروطة أو بالرفض مسبباً.</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للمنشآت المشار إليها في المادة (السابعة) من النظام استكمال إجراءات التركز الاقتصادي إلا في الحالات الآتية:</w:t>
      </w:r>
    </w:p>
    <w:p w:rsidR="00A36269" w:rsidRPr="00D966CA" w:rsidRDefault="00A36269" w:rsidP="00A36269">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أبلغتها الهيئة كتابة بالموافقة.</w:t>
      </w:r>
    </w:p>
    <w:p w:rsidR="00A36269" w:rsidRPr="00D966CA" w:rsidRDefault="00A36269" w:rsidP="00A36269">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انقضت (تسعون) يوماً من تاريخ الإبلاغ دون أن تبلغها الهيئة كتابة بموافقة المجلس أو رفضه.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36269" w:rsidRPr="00D966CA" w:rsidRDefault="00A36269" w:rsidP="00A36269">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على الهيئة أو أعضاء المجلس ممارسة الأعمال التجارية، ما عدا الأعضاء الذين يُختارون لذواتهم، ويحظر على منسوبي الهيئة كذلك ممارسة أي مهنة تتعارض مع عمل الهيئة وأهدافها. ويعتمد المجلس قواعد الإفصاح والشفافية.</w:t>
      </w:r>
    </w:p>
    <w:p w:rsidR="00A36269" w:rsidRPr="00D966CA" w:rsidRDefault="00A36269" w:rsidP="00A36269">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يمنع تقديم الهبات والتبرعات والأوقاف والوصايا والمنح والمساعدات للهيئة، باستثناء ما تقدمه لها الأجهزة الحكومية.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أعضاء المجلس ومنسوبي الهيئة المحافظة على سرية المعلومات والسجلات والبيانات والملفات والوثائق التي يحصلون عليها من المنشآت أثناء جمع الاستدلالات أو التحقيقات، ولا يجوز تسليمها إلى أطراف أخرى إلا بموافقة الهيئة.</w:t>
      </w:r>
      <w:r w:rsidRPr="00D966CA">
        <w:rPr>
          <w:rFonts w:ascii="UICTFontTextStyleBody" w:hAnsi="UICTFontTextStyleBody" w:cs="Times New Roman"/>
          <w:kern w:val="0"/>
          <w:sz w:val="22"/>
          <w:szCs w:val="22"/>
          <w:rtl/>
          <w14:ligatures w14:val="none"/>
        </w:rPr>
        <w:br/>
        <w:t>2- لا يجوز للرئيس أو المحافظ أو أحد الأعضاء الاطلاع على مداولة تتعلق بقضية -أو موضوع- أو المشاركة فيها إذا كان له فيها مصلحة أو علاقة، أو كان بينه وبين أحد الأطراف صلة قرابة أو نسب، أو كان قد مثل أحد الأشخاص المعنيين، وتبين اللائحة الضوابط اللازمة لذلك.</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يصدر المجلس قراره بالموافقة على اتخاذ إجراءات التقصي والبحث وجمع الاستدلالات بالنسبة إلى الشكاوى والمبادرات المتعلقة بمخالفة أحكام النظام، والتحقيق فيها، وتحريك الدعوى الجزائية، أو الحفظ على أن يكون مسبباً.</w:t>
      </w:r>
      <w:r w:rsidRPr="00D966CA">
        <w:rPr>
          <w:rFonts w:ascii="UICTFontTextStyleBody" w:hAnsi="UICTFontTextStyleBody" w:cs="Times New Roman"/>
          <w:kern w:val="0"/>
          <w:sz w:val="22"/>
          <w:szCs w:val="22"/>
          <w:rtl/>
          <w14:ligatures w14:val="none"/>
        </w:rPr>
        <w:br/>
        <w:t>2- للرئيس أو المحافظ -في الحالات العاجلة- أن يصدر قراراً باتخاذ إجراءات التقصي والبحث وجمع الاستدلالات أو التحقيق في الممارسات المخلة بالمنافسة، على أن يعرض القرار على المجلس في أول اجتماع تالٍ لصدوره.</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يتولى موظفون يحددهم المجلس ما يأتي:</w:t>
      </w:r>
      <w:r w:rsidRPr="00D966CA">
        <w:rPr>
          <w:rFonts w:ascii="UICTFontTextStyleBody" w:hAnsi="UICTFontTextStyleBody" w:cs="Times New Roman"/>
          <w:kern w:val="0"/>
          <w:sz w:val="22"/>
          <w:szCs w:val="22"/>
          <w:rtl/>
          <w14:ligatures w14:val="none"/>
        </w:rPr>
        <w:br/>
        <w:t>1- إجراء التقصي والبحث وجمع الاستدلالات وضبط ما يقع من مخالفات لأحكام النظام، وتكون لهم صفة الضبطية القضائية، ولهم الحق في دخول مواقع المنشآت ومكاتبها وفروعها في أوقات العمل المعتادة، والاطلاع على دفاترها ومستنداتها، وأخذ نسخ منها بموجب محاضر يوقعها الموظفون وتابع المنشأة الموجود لحظة الضبط. ولهم الإثبات في قضايا المنافسة بجميع طرق الإثبات، بما في ذلك: البيانات الإلكترونية والصادرة من الحاسب الآلي، وتسجيلات الــهاتف، ومـــراسلات جهاز الفاكس، والبريد الإلكتروني، وتحدد اللائحة اختصاصاتهم وقواعد عملهم.</w:t>
      </w:r>
      <w:r w:rsidRPr="00D966CA">
        <w:rPr>
          <w:rFonts w:ascii="UICTFontTextStyleBody" w:hAnsi="UICTFontTextStyleBody" w:cs="Times New Roman"/>
          <w:kern w:val="0"/>
          <w:sz w:val="22"/>
          <w:szCs w:val="22"/>
          <w:rtl/>
          <w14:ligatures w14:val="none"/>
        </w:rPr>
        <w:br/>
        <w:t>2- إجراء التحقيق والمساءلة اللازمة، والادعاء العام، عند نظر مخالفات أحكام النظام.</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يحظر على أي منشأة منع مأمور الضبط أو المحقق من أداء مهمة مكلف بها وفق الصلاحيات المخولة له بموجب النظام، أو حجب معلومات عنه، أو الإدلاء بمعلومات مضللة، أو إخفاء مستندات أو وثائق تفيد التحقيق أو إتلافها.</w:t>
      </w:r>
      <w:r w:rsidRPr="00D966CA">
        <w:rPr>
          <w:rFonts w:ascii="UICTFontTextStyleBody" w:hAnsi="UICTFontTextStyleBody" w:cs="Times New Roman"/>
          <w:kern w:val="0"/>
          <w:sz w:val="22"/>
          <w:szCs w:val="22"/>
          <w:rtl/>
          <w14:ligatures w14:val="none"/>
        </w:rPr>
        <w:br/>
        <w:t xml:space="preserve">2- للهيئة عند اللزوم الاستعانة بالجهات المختصة -ومنها الجهات الأمنية- لتمكين مأموري الضبط من القيام بمهماتهم </w:t>
      </w:r>
      <w:proofErr w:type="spellStart"/>
      <w:r w:rsidRPr="00D966CA">
        <w:rPr>
          <w:rFonts w:ascii="UICTFontTextStyleBody" w:hAnsi="UICTFontTextStyleBody" w:cs="Times New Roman"/>
          <w:kern w:val="0"/>
          <w:sz w:val="22"/>
          <w:szCs w:val="22"/>
          <w:rtl/>
          <w14:ligatures w14:val="none"/>
        </w:rPr>
        <w:t>الموكولة</w:t>
      </w:r>
      <w:proofErr w:type="spellEnd"/>
      <w:r w:rsidRPr="00D966CA">
        <w:rPr>
          <w:rFonts w:ascii="UICTFontTextStyleBody" w:hAnsi="UICTFontTextStyleBody" w:cs="Times New Roman"/>
          <w:kern w:val="0"/>
          <w:sz w:val="22"/>
          <w:szCs w:val="22"/>
          <w:rtl/>
          <w14:ligatures w14:val="none"/>
        </w:rPr>
        <w:t xml:space="preserve"> إليهم.</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طلب تزويدها بتقارير دورية عن المنشآت العاملة في السوق من الجهات الرسمية ذات العلاقة، أو عند الاقتضاء، على أن توضح اللائحة ذلك.</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يشكَّل بقرار من المجلس -بناءً على ترشيح الرئيس- لجنة من المختصين من خمسة أعضاء، لمدة ثلاث سنوات قابلة للتجديد، على أن يكون من بينهم ثلاثة أعضاء متخصصين في الأنظمة على الأقل، تختص بالفصل في مخالـفات النظام واللائحة - ما عدا المخالفات المشار إليها في الفقرة (1) من المادة (الثانية عشرة)، والمادة (الرابعة والعشرين) - وإيقاع العقوبات المنصوص عليها في النظام. ويحدد القرار من يتولى رئاسة اللجنة، على أن يكون من المختصين بالأنظمة. وتنعقد اللجنة وتصدر قراراتها بالأغلبية، وتكون مسببة، وتحدد اللائحة قواعد عمل اللجنة.</w:t>
      </w:r>
      <w:r w:rsidRPr="00D966CA">
        <w:rPr>
          <w:rFonts w:ascii="UICTFontTextStyleBody" w:hAnsi="UICTFontTextStyleBody" w:cs="Times New Roman"/>
          <w:kern w:val="0"/>
          <w:sz w:val="22"/>
          <w:szCs w:val="22"/>
          <w:rtl/>
          <w14:ligatures w14:val="none"/>
        </w:rPr>
        <w:br/>
        <w:t>2 - إذا شغر مكان أحد الأعضاء في اللجنة؛ يجوز تعيين عضو مكانه حتى انتهاء مدة تشكيلها.</w:t>
      </w:r>
      <w:r w:rsidRPr="00D966CA">
        <w:rPr>
          <w:rFonts w:ascii="UICTFontTextStyleBody" w:hAnsi="UICTFontTextStyleBody" w:cs="Times New Roman"/>
          <w:kern w:val="0"/>
          <w:sz w:val="22"/>
          <w:szCs w:val="22"/>
          <w:rtl/>
          <w14:ligatures w14:val="none"/>
        </w:rPr>
        <w:br/>
        <w:t>3 - يجوز التظلم من قرارات اللجنة أمام المحكمة المختصة خلال (ثلاثين) يوماً من تاريخ إبلاغ المخالف بالقرار، وفي حال إلغائه تتولى المحكمة المختصة النظر في المخالفة وإيقاع العقوبة المناسبة، وفقاً لأحكام النظام.</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عدم الإخلال بما نصت عليه المادة (الرابعة والعشرون) من النظام، يعاقب كل من يخالف أي حكم من أحكام المواد (الخامسة، والسادسة، والسابعة، والحادية عشرة) من هذا النظام بغرامة لا تتجاوز (10%) من إجمالي قيمة المبيعـات السنوية محـل المخـالفة، أو بما لا يتجاوز (عشرة ملايين) ريـال عند استحالة تقدير المبيعات السنوية. وللجنة -في حالات تقدرها- الاستعاضة عن ذلك بإيقاع غرامة لا تتجاوز ثلاثة أضعاف المكاسب التي حققها المخالف نتيجة المخالفة.</w:t>
      </w:r>
      <w:r w:rsidRPr="00D966CA">
        <w:rPr>
          <w:rFonts w:ascii="UICTFontTextStyleBody" w:hAnsi="UICTFontTextStyleBody" w:cs="Times New Roman"/>
          <w:kern w:val="0"/>
          <w:sz w:val="22"/>
          <w:szCs w:val="22"/>
          <w:rtl/>
          <w14:ligatures w14:val="none"/>
        </w:rPr>
        <w:br/>
        <w:t>2 - مع عدم الإخلال بأي عقوبة أشد ينص عليها النظام أو نظام آخر، ودون إخلال بما نصت عليه الفقرة (1) من هذه المادة؛ يعاقب من يخالف أي حكم من أحكام المادة (السادسة عشرة) من النظام بغرامة لا تتجاوز (5%) من إجمالي قيمة المبيعات السنوية، أو بما لا يتجاوز (خمسة ملايين) ريـال عند استحالة تقدير المبيعات السنوية.</w:t>
      </w:r>
      <w:r w:rsidRPr="00D966CA">
        <w:rPr>
          <w:rFonts w:ascii="UICTFontTextStyleBody" w:hAnsi="UICTFontTextStyleBody" w:cs="Times New Roman"/>
          <w:kern w:val="0"/>
          <w:sz w:val="22"/>
          <w:szCs w:val="22"/>
          <w:rtl/>
          <w14:ligatures w14:val="none"/>
        </w:rPr>
        <w:br/>
        <w:t>3 - إن عاد المخالف لارتكاب مخالفته؛ فللجنة أن تضاعف الغرامة المحكوم بها في المرة الأولى، ويُعد المخالف عائداً في حال ارتكاب المخالفة نفسها قبل مضي مدة (ثلاث) سنوات من تاريخ صدور القرار بالمخالفة الأولى.</w:t>
      </w:r>
      <w:r w:rsidRPr="00D966CA">
        <w:rPr>
          <w:rFonts w:ascii="UICTFontTextStyleBody" w:hAnsi="UICTFontTextStyleBody" w:cs="Times New Roman"/>
          <w:kern w:val="0"/>
          <w:sz w:val="22"/>
          <w:szCs w:val="22"/>
          <w:rtl/>
          <w14:ligatures w14:val="none"/>
        </w:rPr>
        <w:br/>
        <w:t>4 - ينشر القرار الصادر بالمخالفات الواردة في هذه المادة على نفقة المخالف في صحيفة محلية تصدر في مقر إقامته، أو في أي وسيلة إعلامية أخرى مناسبة، على أن يكون النشر بعد اكتساب الحكم الصادر في شأنه صفة القطعية، أو بعد أن يكون القرار نهائياً.</w:t>
      </w:r>
      <w:r w:rsidRPr="00D966CA">
        <w:rPr>
          <w:rFonts w:ascii="UICTFontTextStyleBody" w:hAnsi="UICTFontTextStyleBody" w:cs="Times New Roman"/>
          <w:kern w:val="0"/>
          <w:sz w:val="22"/>
          <w:szCs w:val="22"/>
          <w:rtl/>
          <w14:ligatures w14:val="none"/>
        </w:rPr>
        <w:br/>
        <w:t xml:space="preserve">5 - يصدر المجلس قراراً يحدد الحالات التي يكون فيها النشر الوارد في الفقرة (4) من هذه المادة </w:t>
      </w:r>
      <w:proofErr w:type="spellStart"/>
      <w:r w:rsidRPr="00D966CA">
        <w:rPr>
          <w:rFonts w:ascii="UICTFontTextStyleBody" w:hAnsi="UICTFontTextStyleBody" w:cs="Times New Roman"/>
          <w:kern w:val="0"/>
          <w:sz w:val="22"/>
          <w:szCs w:val="22"/>
          <w:rtl/>
          <w14:ligatures w14:val="none"/>
        </w:rPr>
        <w:t>جوازيًّا</w:t>
      </w:r>
      <w:proofErr w:type="spellEnd"/>
      <w:r w:rsidRPr="00D966CA">
        <w:rPr>
          <w:rFonts w:ascii="UICTFontTextStyleBody" w:hAnsi="UICTFontTextStyleBody" w:cs="Times New Roman"/>
          <w:kern w:val="0"/>
          <w:sz w:val="22"/>
          <w:szCs w:val="22"/>
          <w:rtl/>
          <w14:ligatures w14:val="none"/>
        </w:rPr>
        <w:t>، وتحدد اللائحة الضوابط الواجب مراعاتها في القرار.</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تقضي به الفقرة (1) من المادة (الثانية عشرة)، والمادتان (التاسعة عشرة)، و(الرابعة والعشرون) من النظام؛ يعاقب كل من يخالف أي حكم آخر من أحكام النظام أو اللائحة بغرامة لا تتجاوز (مليوني) ريـال.</w:t>
      </w:r>
      <w:r w:rsidRPr="00D966CA">
        <w:rPr>
          <w:rFonts w:ascii="UICTFontTextStyleBody" w:hAnsi="UICTFontTextStyleBody" w:cs="Times New Roman"/>
          <w:kern w:val="0"/>
          <w:sz w:val="22"/>
          <w:szCs w:val="22"/>
          <w:rtl/>
          <w14:ligatures w14:val="none"/>
        </w:rPr>
        <w:br/>
        <w:t> </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مع عدم الإخلال بما تقضي به المادة (التاسعة عشرة) من النظام، يجوز للمجلس اتخاذ أحد التدابير الآتية أو بعضها إن تبين له إن هناك مخالفة لأحد أحكام النظام:</w:t>
      </w:r>
      <w:r w:rsidRPr="00D966CA">
        <w:rPr>
          <w:rFonts w:ascii="UICTFontTextStyleBody" w:hAnsi="UICTFontTextStyleBody" w:cs="Times New Roman"/>
          <w:kern w:val="0"/>
          <w:sz w:val="22"/>
          <w:szCs w:val="22"/>
          <w:rtl/>
          <w14:ligatures w14:val="none"/>
        </w:rPr>
        <w:br/>
        <w:t>1- تكليف المخالف بتعديل أوضاعه وإزالة المخالفة خلال مدة محددة.</w:t>
      </w:r>
      <w:r w:rsidRPr="00D966CA">
        <w:rPr>
          <w:rFonts w:ascii="UICTFontTextStyleBody" w:hAnsi="UICTFontTextStyleBody" w:cs="Times New Roman"/>
          <w:kern w:val="0"/>
          <w:sz w:val="22"/>
          <w:szCs w:val="22"/>
          <w:rtl/>
          <w14:ligatures w14:val="none"/>
        </w:rPr>
        <w:br/>
        <w:t>2- يجوز للمجلس -بعد صدور قرار اللجنة بإيقاع العقوبة- أن يتخذ واحداً أو أكثر من التدابير التالية:</w:t>
      </w:r>
      <w:r w:rsidRPr="00D966CA">
        <w:rPr>
          <w:rFonts w:ascii="UICTFontTextStyleBody" w:hAnsi="UICTFontTextStyleBody" w:cs="Times New Roman"/>
          <w:kern w:val="0"/>
          <w:sz w:val="22"/>
          <w:szCs w:val="22"/>
          <w:rtl/>
          <w14:ligatures w14:val="none"/>
        </w:rPr>
        <w:br/>
        <w:t>أ- تكليف المخالف بالتصرف في بعض الأصول أو الأسهم أو حقوق الملكية، أو القيام بأي عمل آخر يكفل إزالة المخالفة.</w:t>
      </w:r>
      <w:r w:rsidRPr="00D966CA">
        <w:rPr>
          <w:rFonts w:ascii="UICTFontTextStyleBody" w:hAnsi="UICTFontTextStyleBody" w:cs="Times New Roman"/>
          <w:kern w:val="0"/>
          <w:sz w:val="22"/>
          <w:szCs w:val="22"/>
          <w:rtl/>
          <w14:ligatures w14:val="none"/>
        </w:rPr>
        <w:br/>
        <w:t>ب- إلزام المخالف بدفع غرامـة يومية لا تتجاوز (عشرة آلاف) ريال إلى أن تزال المخالفة في المدة المحددة في قرار المجلس، وعند انتهاء هذه المدة دون إزالة المخالفة تُضاعف الغرامة المقررة إلى أن تزال.</w:t>
      </w:r>
      <w:r w:rsidRPr="00D966CA">
        <w:rPr>
          <w:rFonts w:ascii="UICTFontTextStyleBody" w:hAnsi="UICTFontTextStyleBody" w:cs="Times New Roman"/>
          <w:kern w:val="0"/>
          <w:sz w:val="22"/>
          <w:szCs w:val="22"/>
          <w:rtl/>
          <w14:ligatures w14:val="none"/>
        </w:rPr>
        <w:br/>
        <w:t>ج- إغلاق المنشأة مؤقتاً لمدة لا تزيد على (ثلاثين) يوماً عند الاستمرار في المخالفة بعد انقضاء (تسعين) يوماً من إشعار المجلس المنشأة بإزالة المخالفة.</w:t>
      </w:r>
      <w:r w:rsidRPr="00D966CA">
        <w:rPr>
          <w:rFonts w:ascii="UICTFontTextStyleBody" w:hAnsi="UICTFontTextStyleBody" w:cs="Times New Roman"/>
          <w:kern w:val="0"/>
          <w:sz w:val="22"/>
          <w:szCs w:val="22"/>
          <w:rtl/>
          <w14:ligatures w14:val="none"/>
        </w:rPr>
        <w:br/>
        <w:t>وتحدد اللائحة القواعد اللازمة لتطبيق هذه التدابير.</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يراعى عند إيقاع العقوبات والتدابير الواردة في المواد (التاسعة عشرة)، و(العشرين)، و(الحادية والعشرين) من النظام، ما يأتي:</w:t>
      </w:r>
      <w:r w:rsidRPr="00D966CA">
        <w:rPr>
          <w:rFonts w:ascii="UICTFontTextStyleBody" w:hAnsi="UICTFontTextStyleBody" w:cs="Times New Roman"/>
          <w:kern w:val="0"/>
          <w:sz w:val="22"/>
          <w:szCs w:val="22"/>
          <w:rtl/>
          <w14:ligatures w14:val="none"/>
        </w:rPr>
        <w:br/>
        <w:t>1- عند تعدد أنشطة المنشأة وتباين كل نشاط عن الآخر؛ تقدر الغرامة وفقاً لطبيعة النشاط محل المخالفة، مع الأخذ في الحسبان الأنشطة المستهدفة من المخالفة.</w:t>
      </w:r>
      <w:r w:rsidRPr="00D966CA">
        <w:rPr>
          <w:rFonts w:ascii="UICTFontTextStyleBody" w:hAnsi="UICTFontTextStyleBody" w:cs="Times New Roman"/>
          <w:kern w:val="0"/>
          <w:sz w:val="22"/>
          <w:szCs w:val="22"/>
          <w:rtl/>
          <w14:ligatures w14:val="none"/>
        </w:rPr>
        <w:br/>
        <w:t>2 - ظروف المخالفة وملابساتها.</w:t>
      </w:r>
      <w:r w:rsidRPr="00D966CA">
        <w:rPr>
          <w:rFonts w:ascii="UICTFontTextStyleBody" w:hAnsi="UICTFontTextStyleBody" w:cs="Times New Roman"/>
          <w:kern w:val="0"/>
          <w:sz w:val="22"/>
          <w:szCs w:val="22"/>
          <w:rtl/>
          <w14:ligatures w14:val="none"/>
        </w:rPr>
        <w:br/>
        <w:t>3 - جسامة المخالفة.</w:t>
      </w:r>
      <w:r w:rsidRPr="00D966CA">
        <w:rPr>
          <w:rFonts w:ascii="UICTFontTextStyleBody" w:hAnsi="UICTFontTextStyleBody" w:cs="Times New Roman"/>
          <w:kern w:val="0"/>
          <w:sz w:val="22"/>
          <w:szCs w:val="22"/>
          <w:rtl/>
          <w14:ligatures w14:val="none"/>
        </w:rPr>
        <w:br/>
        <w:t>4 - آثار المخالفة.</w:t>
      </w:r>
      <w:r w:rsidRPr="00D966CA">
        <w:rPr>
          <w:rFonts w:ascii="UICTFontTextStyleBody" w:hAnsi="UICTFontTextStyleBody" w:cs="Times New Roman"/>
          <w:kern w:val="0"/>
          <w:sz w:val="22"/>
          <w:szCs w:val="22"/>
          <w:rtl/>
          <w14:ligatures w14:val="none"/>
        </w:rPr>
        <w:br/>
        <w:t>وذلك في كل حالة على حدة.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للمجلس اتخاذ قرار بألا يحيل إلى اللجنة المنشأة المخالفة لأحكام هذا النظام، وذلك في حال  بادرت تلك المنشأة بتقديم أدلة تكشف شركاءها في تلك المخالفة، وللمجلس أيضاً قبول التسوية مع المنشأة المخالفة. وتحدد اللائحة الضوابط والاشتراطات اللازمة لذلك، وآليات تعويض المتضررين.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عـدم الإخـلال بأي عقوبة أشد ينص عليها النظام أو نظام آخر، يعاقب بغرامة لا تتجاوز (مليون) ريال كل من أفشى سرًّا له علاقة بعمله من أعضاء المجلس أو منسوبي الهيئة بقصد تحقيق نفع مادي أو معنوي.</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لأي شخص ذي صفة طبيعية أو اعتبارية يلحقه ضرر ناتج من ممارسات مخالفة لأحكام النظام، التقدم بطلب التعويض أمام المحكمة المختصة.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المنافسة، الصادر بالمرسوم الملكي رقم (م / 25) وتاريخ 4 / 5 / 1425هـ.</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يصدر المجلس اللائحة خلال (مائة وثمانين) يوماً من تاريخ نشر النظام في الجريدة الرسمية،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 في الجريدة الرسمية.</w:t>
      </w:r>
    </w:p>
    <w:p w:rsidR="00A36269" w:rsidRPr="00D966CA" w:rsidRDefault="00A36269" w:rsidP="00A36269">
      <w:pPr>
        <w:bidi/>
        <w:spacing w:after="0" w:line="240" w:lineRule="auto"/>
        <w:rPr>
          <w:rFonts w:ascii=".AppleSystemUIFont" w:hAnsi=".AppleSystemUIFont" w:cs="Times New Roman"/>
          <w:kern w:val="0"/>
          <w:sz w:val="22"/>
          <w:szCs w:val="22"/>
          <w:rtl/>
          <w14:ligatures w14:val="none"/>
        </w:rPr>
      </w:pPr>
    </w:p>
    <w:p w:rsidR="00BE3473" w:rsidRDefault="00BE3473" w:rsidP="00A36269">
      <w:pPr>
        <w:bidi/>
      </w:pPr>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64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F34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69"/>
    <w:rsid w:val="00A36269"/>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269"/>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269"/>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3285</Words>
  <Characters>18727</Characters>
  <Application>Microsoft Office Word</Application>
  <DocSecurity>0</DocSecurity>
  <Lines>156</Lines>
  <Paragraphs>43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2025-04-22T15:39:00Z</dcterms:created>
  <dcterms:modified xsi:type="dcterms:W3CDTF">2025-04-22T15:40:00Z</dcterms:modified>
</cp:coreProperties>
</file>