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500"/>
        <w:jc w:val="center"/>
      </w:pPr>
      <w:r>
        <w:drawing>
          <wp:inline distT="0" distB="0" distL="0" distR="0">
            <wp:extent cx="18669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66900" cy="1504950"/>
                    </a:xfrm>
                    <a:prstGeom prst="rect">
                      <a:avLst/>
                    </a:prstGeom>
                  </pic:spPr>
                </pic:pic>
              </a:graphicData>
            </a:graphic>
          </wp:inline>
        </w:drawing>
      </w:r>
    </w:p>
    <w:p>
      <w:pPr>
        <w:bidi/>
        <w:spacing w:after="60"/>
        <w:jc w:val="center"/>
      </w:pPr>
      <w:r>
        <w:rPr>
          <w:rFonts w:ascii="IBM Plex Sans Arabic" w:cs="IBM Plex Sans Arabic" w:eastAsia="IBM Plex Sans Arabic" w:hAnsi="IBM Plex Sans Arabic"/>
          <w:b/>
          <w:bCs/>
          <w:color w:val="098A4E"/>
          <w:sz w:val="26"/>
          <w:szCs w:val="26"/>
          <w:rtl/>
        </w:rPr>
        <w:t xml:space="preserve">الهيئة الملكية لمدينة الرياض</w:t>
      </w:r>
    </w:p>
    <w:p>
      <w:pPr>
        <w:bidi/>
        <w:spacing w:after="120"/>
        <w:jc w:val="center"/>
      </w:pPr>
      <w:r>
        <w:rPr>
          <w:rFonts w:ascii="Cairo" w:cs="Cairo" w:eastAsia="Cairo" w:hAnsi="Cairo"/>
          <w:b w:val="false"/>
          <w:bCs w:val="false"/>
          <w:color w:val="5C6E63"/>
          <w:sz w:val="22"/>
          <w:szCs w:val="22"/>
          <w:rtl/>
        </w:rPr>
        <w:t xml:space="preserve">فريق استدامة كفاءة الإنفاق</w:t>
      </w:r>
    </w:p>
    <w:p>
      <w:pPr>
        <w:bidi/>
        <w:spacing w:after="100" w:before="480"/>
        <w:jc w:val="center"/>
      </w:pPr>
      <w:r>
        <w:rPr>
          <w:rFonts w:ascii="IBM Plex Sans Arabic" w:cs="IBM Plex Sans Arabic" w:eastAsia="IBM Plex Sans Arabic" w:hAnsi="IBM Plex Sans Arabic"/>
          <w:b/>
          <w:bCs/>
          <w:color w:val="0A3B27"/>
          <w:sz w:val="52"/>
          <w:szCs w:val="52"/>
          <w:rtl/>
        </w:rPr>
        <w:t xml:space="preserve">وثيقة متطلبات الأعمال</w:t>
      </w:r>
    </w:p>
    <w:p>
      <w:pPr>
        <w:bidi/>
        <w:spacing w:after="500"/>
        <w:jc w:val="center"/>
      </w:pPr>
      <w:r>
        <w:rPr>
          <w:rFonts w:ascii="IBM Plex Sans Arabic" w:cs="IBM Plex Sans Arabic" w:eastAsia="IBM Plex Sans Arabic" w:hAnsi="IBM Plex Sans Arabic"/>
          <w:b/>
          <w:bCs/>
          <w:color w:val="098A4E"/>
          <w:sz w:val="34"/>
          <w:szCs w:val="34"/>
          <w:rtl/>
        </w:rPr>
        <w:t xml:space="preserve">منصة استدامة كفاءة الإنفاق</w:t>
      </w:r>
    </w:p>
    <w:p>
      <w:pPr>
        <w:bidi/>
        <w:spacing w:after="80"/>
        <w:jc w:val="center"/>
      </w:pPr>
      <w:r>
        <w:rPr>
          <w:rFonts w:ascii="Cairo" w:cs="Cairo" w:eastAsia="Cairo" w:hAnsi="Cairo"/>
          <w:b w:val="false"/>
          <w:bCs w:val="false"/>
          <w:color w:val="5C6E63"/>
          <w:sz w:val="23"/>
          <w:szCs w:val="23"/>
          <w:rtl/>
        </w:rPr>
        <w:t xml:space="preserve">المنصة المركزية لأتمتة ممارسات كفاءة الإنفاق وأعمال فريق كفاءة الإنفاق</w:t>
      </w:r>
    </w:p>
    <w:p>
      <w:pPr>
        <w:bidi/>
        <w:spacing w:after="50" w:before="700"/>
        <w:jc w:val="center"/>
      </w:pPr>
      <w:r>
        <w:rPr>
          <w:rFonts w:ascii="Cairo" w:cs="Cairo" w:eastAsia="Cairo" w:hAnsi="Cairo"/>
          <w:b/>
          <w:bCs/>
          <w:color w:val="111815"/>
          <w:sz w:val="22"/>
          <w:szCs w:val="22"/>
          <w:rtl/>
        </w:rPr>
        <w:t xml:space="preserve">الإصدار 1.0 — أغسطس 2026م</w:t>
      </w:r>
    </w:p>
    <w:p>
      <w:pPr>
        <w:bidi/>
        <w:spacing w:after="50"/>
        <w:jc w:val="center"/>
      </w:pPr>
      <w:r>
        <w:rPr>
          <w:rFonts w:ascii="Cairo" w:cs="Cairo" w:eastAsia="Cairo" w:hAnsi="Cairo"/>
          <w:b w:val="false"/>
          <w:bCs w:val="false"/>
          <w:color w:val="5C6E63"/>
          <w:sz w:val="21"/>
          <w:szCs w:val="21"/>
          <w:rtl/>
        </w:rPr>
        <w:t xml:space="preserve">حالة الوثيقة: مسودة للاعتماد</w:t>
      </w:r>
    </w:p>
    <w:p>
      <w:pPr>
        <w:bidi/>
        <w:spacing w:after="0"/>
        <w:jc w:val="center"/>
      </w:pPr>
      <w:r>
        <w:rPr>
          <w:rFonts w:ascii="Cairo" w:cs="Cairo" w:eastAsia="Cairo" w:hAnsi="Cairo"/>
          <w:b w:val="false"/>
          <w:bCs w:val="false"/>
          <w:color w:val="9A7D33"/>
          <w:sz w:val="21"/>
          <w:szCs w:val="21"/>
          <w:rtl/>
        </w:rPr>
        <w:t xml:space="preserve">التصنيف: خاص — للاستخدام الداخلي</w:t>
      </w:r>
    </w:p>
    <w:p>
      <w:r>
        <w:br w:type="page"/>
      </w:r>
    </w:p>
    <w:p>
      <w:pPr>
        <w:keepNext/>
        <w:bidi/>
        <w:spacing w:after="200" w:before="200"/>
      </w:pPr>
      <w:r>
        <w:rPr>
          <w:rFonts w:ascii="IBM Plex Sans Arabic" w:cs="IBM Plex Sans Arabic" w:eastAsia="IBM Plex Sans Arabic" w:hAnsi="IBM Plex Sans Arabic"/>
          <w:b/>
          <w:bCs/>
          <w:color w:val="0A3B27"/>
          <w:sz w:val="30"/>
          <w:szCs w:val="30"/>
          <w:rtl/>
        </w:rPr>
        <w:t xml:space="preserve">جدول المحتويات</w:t>
      </w:r>
    </w:p>
    <w:sdt>
      <w:sdtPr>
        <w:alias w:val="جدول المحتويات"/>
      </w:sdtPr>
      <w:sdtContent>
        <w:p>
          <w:r>
            <w:fldChar w:fldCharType="begin" w:dirty="true"/>
            <w:instrText xml:space="preserve">TOC \h \o "1-2"</w:instrText>
            <w:fldChar w:fldCharType="separate"/>
          </w:r>
        </w:p>
        <w:p>
          <w:r>
            <w:fldChar w:fldCharType="end"/>
          </w:r>
        </w:p>
      </w:sdtContent>
    </w:sdt>
    <w:p>
      <w:pPr>
        <w:bidi/>
        <w:spacing w:before="160"/>
      </w:pPr>
      <w:r>
        <w:rPr>
          <w:rFonts w:ascii="Cairo" w:cs="Cairo" w:eastAsia="Cairo" w:hAnsi="Cairo"/>
          <w:b w:val="false"/>
          <w:bCs w:val="false"/>
          <w:color w:val="5C6E63"/>
          <w:sz w:val="18"/>
          <w:szCs w:val="18"/>
          <w:rtl/>
        </w:rPr>
        <w:t xml:space="preserve">ملاحظة: يُحدَّث جدول المحتويات تلقائياً عند فتح الوثيقة في برنامج Word، أو عبر تحديد الجدول والضغط على F9.</w:t>
      </w:r>
    </w:p>
    <w:p>
      <w:r>
        <w:br w:type="page"/>
      </w:r>
    </w:p>
    <w:p>
      <w:pPr>
        <w:pStyle w:val="Heading1"/>
        <w:keepNext/>
        <w:keepLines/>
        <w:bidi/>
        <w:spacing w:after="190" w:before="340"/>
      </w:pPr>
      <w:r>
        <w:rPr>
          <w:rFonts w:ascii="IBM Plex Sans Arabic" w:cs="IBM Plex Sans Arabic" w:eastAsia="IBM Plex Sans Arabic" w:hAnsi="IBM Plex Sans Arabic"/>
          <w:b/>
          <w:bCs/>
          <w:color w:val="0A3B27"/>
          <w:sz w:val="30"/>
          <w:szCs w:val="30"/>
          <w:rtl/>
        </w:rPr>
        <w:t xml:space="preserve">1. ضبط الوثيقة</w:t>
      </w:r>
    </w:p>
    <w:p>
      <w:pPr>
        <w:pStyle w:val="Heading2"/>
        <w:keepNext/>
        <w:keepLines/>
        <w:bidi/>
        <w:spacing w:after="130" w:before="240"/>
      </w:pPr>
      <w:r>
        <w:rPr>
          <w:rFonts w:ascii="IBM Plex Sans Arabic" w:cs="IBM Plex Sans Arabic" w:eastAsia="IBM Plex Sans Arabic" w:hAnsi="IBM Plex Sans Arabic"/>
          <w:b/>
          <w:bCs/>
          <w:color w:val="098A4E"/>
          <w:sz w:val="25"/>
          <w:szCs w:val="25"/>
          <w:rtl/>
        </w:rPr>
        <w:t xml:space="preserve">1.1 سجل الإصدارات</w:t>
      </w:r>
    </w:p>
    <w:tbl>
      <w:tblPr>
        <w:bidiVisual/>
        <w:tblW w:type="dxa" w:w="9020"/>
        <w:tblBorders>
          <w:top w:val="single" w:color="D8E0DB" w:sz="4"/>
          <w:left w:val="single" w:color="D8E0DB" w:sz="4"/>
          <w:bottom w:val="single" w:color="D8E0DB" w:sz="4"/>
          <w:right w:val="single" w:color="D8E0DB" w:sz="4"/>
          <w:insideH w:val="single" w:color="D8E0DB" w:sz="4"/>
          <w:insideV w:val="single" w:color="D8E0DB" w:sz="4"/>
        </w:tblBorders>
      </w:tblPr>
      <w:tblGrid>
        <w:gridCol w:w="1100"/>
        <w:gridCol w:w="1750"/>
        <w:gridCol w:w="2600"/>
        <w:gridCol w:w="3570"/>
      </w:tblGrid>
      <w:tr>
        <w:trPr>
          <w:cantSplit/>
          <w:tblHeader/>
        </w:trPr>
        <w:tc>
          <w:tcPr>
            <w:tcW w:type="dxa" w:w="110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الإصدار</w:t>
            </w:r>
          </w:p>
        </w:tc>
        <w:tc>
          <w:tcPr>
            <w:tcW w:type="dxa" w:w="175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التاريخ</w:t>
            </w:r>
          </w:p>
        </w:tc>
        <w:tc>
          <w:tcPr>
            <w:tcW w:type="dxa" w:w="260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المُعِد</w:t>
            </w:r>
          </w:p>
        </w:tc>
        <w:tc>
          <w:tcPr>
            <w:tcW w:type="dxa" w:w="357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وصف التغيير</w:t>
            </w:r>
          </w:p>
        </w:tc>
      </w:tr>
      <w:tr>
        <w:trPr>
          <w:cantSplit/>
          <w:tblHeader w:val="false"/>
        </w:trPr>
        <w:tc>
          <w:tcPr>
            <w:tcW w:type="dxa" w:w="110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1.0</w:t>
            </w:r>
          </w:p>
        </w:tc>
        <w:tc>
          <w:tcPr>
            <w:tcW w:type="dxa" w:w="175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أغسطس 2026م</w:t>
            </w:r>
          </w:p>
        </w:tc>
        <w:tc>
          <w:tcPr>
            <w:tcW w:type="dxa" w:w="260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فريق استدامة كفاءة الإنفاق</w:t>
            </w:r>
          </w:p>
        </w:tc>
        <w:tc>
          <w:tcPr>
            <w:tcW w:type="dxa" w:w="357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الإصدار الأول من وثيقة متطلبات الأعمال المرفوعة للاعتماد.</w:t>
            </w:r>
          </w:p>
        </w:tc>
      </w:tr>
    </w:tbl>
    <w:p>
      <w:pPr>
        <w:bidi/>
        <w:spacing w:after="120"/>
      </w:pPr>
    </w:p>
    <w:p>
      <w:pPr>
        <w:pStyle w:val="Heading2"/>
        <w:keepNext/>
        <w:keepLines/>
        <w:bidi/>
        <w:spacing w:after="130" w:before="240"/>
      </w:pPr>
      <w:r>
        <w:rPr>
          <w:rFonts w:ascii="IBM Plex Sans Arabic" w:cs="IBM Plex Sans Arabic" w:eastAsia="IBM Plex Sans Arabic" w:hAnsi="IBM Plex Sans Arabic"/>
          <w:b/>
          <w:bCs/>
          <w:color w:val="098A4E"/>
          <w:sz w:val="25"/>
          <w:szCs w:val="25"/>
          <w:rtl/>
        </w:rPr>
        <w:t xml:space="preserve">1.2 الاعتمادات</w:t>
      </w:r>
    </w:p>
    <w:tbl>
      <w:tblPr>
        <w:bidiVisual/>
        <w:tblW w:type="dxa" w:w="9020"/>
        <w:tblBorders>
          <w:top w:val="single" w:color="D8E0DB" w:sz="4"/>
          <w:left w:val="single" w:color="D8E0DB" w:sz="4"/>
          <w:bottom w:val="single" w:color="D8E0DB" w:sz="4"/>
          <w:right w:val="single" w:color="D8E0DB" w:sz="4"/>
          <w:insideH w:val="single" w:color="D8E0DB" w:sz="4"/>
          <w:insideV w:val="single" w:color="D8E0DB" w:sz="4"/>
        </w:tblBorders>
      </w:tblPr>
      <w:tblGrid>
        <w:gridCol w:w="2400"/>
        <w:gridCol w:w="2810"/>
        <w:gridCol w:w="1900"/>
        <w:gridCol w:w="1910"/>
      </w:tblGrid>
      <w:tr>
        <w:trPr>
          <w:cantSplit/>
          <w:tblHeader/>
        </w:trPr>
        <w:tc>
          <w:tcPr>
            <w:tcW w:type="dxa" w:w="240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الدور</w:t>
            </w:r>
          </w:p>
        </w:tc>
        <w:tc>
          <w:tcPr>
            <w:tcW w:type="dxa" w:w="281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الاسم والمنصب</w:t>
            </w:r>
          </w:p>
        </w:tc>
        <w:tc>
          <w:tcPr>
            <w:tcW w:type="dxa" w:w="190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التوقيع</w:t>
            </w:r>
          </w:p>
        </w:tc>
        <w:tc>
          <w:tcPr>
            <w:tcW w:type="dxa" w:w="191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التاريخ</w:t>
            </w:r>
          </w:p>
        </w:tc>
      </w:tr>
      <w:tr>
        <w:trPr>
          <w:cantSplit/>
          <w:tblHeader w:val="false"/>
        </w:trPr>
        <w:tc>
          <w:tcPr>
            <w:tcW w:type="dxa" w:w="24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إعداد</w:t>
            </w:r>
          </w:p>
        </w:tc>
        <w:tc>
          <w:tcPr>
            <w:tcW w:type="dxa" w:w="281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قائد فريق استدامة كفاءة الإنفاق</w:t>
            </w:r>
          </w:p>
        </w:tc>
        <w:tc>
          <w:tcPr>
            <w:tcW w:type="dxa" w:w="19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
            </w:r>
          </w:p>
        </w:tc>
        <w:tc>
          <w:tcPr>
            <w:tcW w:type="dxa" w:w="191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
            </w:r>
          </w:p>
        </w:tc>
      </w:tr>
      <w:tr>
        <w:trPr>
          <w:cantSplit/>
          <w:tblHeader w:val="false"/>
        </w:trPr>
        <w:tc>
          <w:tcPr>
            <w:tcW w:type="dxa" w:w="24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مراجعة</w:t>
            </w:r>
          </w:p>
        </w:tc>
        <w:tc>
          <w:tcPr>
            <w:tcW w:type="dxa" w:w="281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اللجنة الإشرافية لكفاءة الإنفاق</w:t>
            </w:r>
          </w:p>
        </w:tc>
        <w:tc>
          <w:tcPr>
            <w:tcW w:type="dxa" w:w="19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
            </w:r>
          </w:p>
        </w:tc>
        <w:tc>
          <w:tcPr>
            <w:tcW w:type="dxa" w:w="191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
            </w:r>
          </w:p>
        </w:tc>
      </w:tr>
      <w:tr>
        <w:trPr>
          <w:cantSplit/>
          <w:tblHeader w:val="false"/>
        </w:trPr>
        <w:tc>
          <w:tcPr>
            <w:tcW w:type="dxa" w:w="240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اعتماد</w:t>
            </w:r>
          </w:p>
        </w:tc>
        <w:tc>
          <w:tcPr>
            <w:tcW w:type="dxa" w:w="281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اللجنة التوجيهية / صاحب الصلاحية</w:t>
            </w:r>
          </w:p>
        </w:tc>
        <w:tc>
          <w:tcPr>
            <w:tcW w:type="dxa" w:w="190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
            </w:r>
          </w:p>
        </w:tc>
        <w:tc>
          <w:tcPr>
            <w:tcW w:type="dxa" w:w="191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
            </w:r>
          </w:p>
        </w:tc>
      </w:tr>
    </w:tbl>
    <w:p>
      <w:pPr>
        <w:bidi/>
        <w:spacing w:after="120"/>
      </w:pPr>
    </w:p>
    <w:p>
      <w:pPr>
        <w:pStyle w:val="Heading2"/>
        <w:keepNext/>
        <w:keepLines/>
        <w:bidi/>
        <w:spacing w:after="130" w:before="240"/>
      </w:pPr>
      <w:r>
        <w:rPr>
          <w:rFonts w:ascii="IBM Plex Sans Arabic" w:cs="IBM Plex Sans Arabic" w:eastAsia="IBM Plex Sans Arabic" w:hAnsi="IBM Plex Sans Arabic"/>
          <w:b/>
          <w:bCs/>
          <w:color w:val="098A4E"/>
          <w:sz w:val="25"/>
          <w:szCs w:val="25"/>
          <w:rtl/>
        </w:rPr>
        <w:t xml:space="preserve">1.3 التوزيع</w:t>
      </w:r>
    </w:p>
    <w:p>
      <w:pPr>
        <w:keepNext w:val="false"/>
        <w:keepLines/>
        <w:bidi/>
        <w:spacing w:after="140" w:line="330"/>
        <w:jc w:val="both"/>
      </w:pPr>
      <w:r>
        <w:rPr>
          <w:rFonts w:ascii="Cairo" w:cs="Cairo" w:eastAsia="Cairo" w:hAnsi="Cairo"/>
          <w:b w:val="false"/>
          <w:bCs w:val="false"/>
          <w:color w:val="111815"/>
          <w:sz w:val="22"/>
          <w:szCs w:val="22"/>
          <w:rtl/>
        </w:rPr>
        <w:t xml:space="preserve">تُوزَّع هذه الوثيقة على أعضاء اللجنتين الإشرافية والتوجيهية، وملاك الركائز، وإدارة تقنية المعلومات، والجهة المنفِّذة للمنصة، وذلك وفق تصنيفها المشار إليه في صفحة الغلاف.</w:t>
      </w:r>
    </w:p>
    <w:p>
      <w:pPr>
        <w:pStyle w:val="Heading1"/>
        <w:keepNext/>
        <w:keepLines/>
        <w:pageBreakBefore/>
        <w:bidi/>
        <w:spacing w:after="190" w:before="340"/>
      </w:pPr>
      <w:r>
        <w:rPr>
          <w:rFonts w:ascii="IBM Plex Sans Arabic" w:cs="IBM Plex Sans Arabic" w:eastAsia="IBM Plex Sans Arabic" w:hAnsi="IBM Plex Sans Arabic"/>
          <w:b/>
          <w:bCs/>
          <w:color w:val="0A3B27"/>
          <w:sz w:val="30"/>
          <w:szCs w:val="30"/>
          <w:rtl/>
        </w:rPr>
        <w:t xml:space="preserve">2. المقدمة</w:t>
      </w:r>
    </w:p>
    <w:p>
      <w:pPr>
        <w:pStyle w:val="Heading2"/>
        <w:keepNext/>
        <w:keepLines/>
        <w:bidi/>
        <w:spacing w:after="130" w:before="240"/>
      </w:pPr>
      <w:r>
        <w:rPr>
          <w:rFonts w:ascii="IBM Plex Sans Arabic" w:cs="IBM Plex Sans Arabic" w:eastAsia="IBM Plex Sans Arabic" w:hAnsi="IBM Plex Sans Arabic"/>
          <w:b/>
          <w:bCs/>
          <w:color w:val="098A4E"/>
          <w:sz w:val="25"/>
          <w:szCs w:val="25"/>
          <w:rtl/>
        </w:rPr>
        <w:t xml:space="preserve">2.1 الغرض من الوثيقة</w:t>
      </w:r>
    </w:p>
    <w:p>
      <w:pPr>
        <w:keepNext w:val="false"/>
        <w:keepLines/>
        <w:bidi/>
        <w:spacing w:after="140" w:line="330"/>
        <w:jc w:val="both"/>
      </w:pPr>
      <w:r>
        <w:rPr>
          <w:rFonts w:ascii="Cairo" w:cs="Cairo" w:eastAsia="Cairo" w:hAnsi="Cairo"/>
          <w:b w:val="false"/>
          <w:bCs w:val="false"/>
          <w:color w:val="111815"/>
          <w:sz w:val="22"/>
          <w:szCs w:val="22"/>
          <w:rtl/>
        </w:rPr>
        <w:t xml:space="preserve">تحدد هذه الوثيقة متطلبات الأعمال الخاصة بمنصة استدامة كفاءة الإنفاق في الهيئة الملكية لمدينة الرياض، بوصفها المرجع المعتمد لنطاق المنصة وخدماتها ومسارات العمل فيها وقواعدها وضوابطها، وأساساً للتعاقد مع الجهة المنفِّذة وقياس اكتمال التسليم عند القبول النهائي.</w:t>
      </w:r>
    </w:p>
    <w:p>
      <w:pPr>
        <w:pStyle w:val="Heading2"/>
        <w:keepNext/>
        <w:keepLines/>
        <w:bidi/>
        <w:spacing w:after="130" w:before="240"/>
      </w:pPr>
      <w:r>
        <w:rPr>
          <w:rFonts w:ascii="IBM Plex Sans Arabic" w:cs="IBM Plex Sans Arabic" w:eastAsia="IBM Plex Sans Arabic" w:hAnsi="IBM Plex Sans Arabic"/>
          <w:b/>
          <w:bCs/>
          <w:color w:val="098A4E"/>
          <w:sz w:val="25"/>
          <w:szCs w:val="25"/>
          <w:rtl/>
        </w:rPr>
        <w:t xml:space="preserve">2.2 نطاق الوثيقة</w:t>
      </w:r>
    </w:p>
    <w:p>
      <w:pPr>
        <w:keepNext w:val="false"/>
        <w:keepLines/>
        <w:bidi/>
        <w:spacing w:after="140" w:line="330"/>
        <w:jc w:val="both"/>
      </w:pPr>
      <w:r>
        <w:rPr>
          <w:rFonts w:ascii="Cairo" w:cs="Cairo" w:eastAsia="Cairo" w:hAnsi="Cairo"/>
          <w:b w:val="false"/>
          <w:bCs w:val="false"/>
          <w:color w:val="111815"/>
          <w:sz w:val="22"/>
          <w:szCs w:val="22"/>
          <w:rtl/>
        </w:rPr>
        <w:t xml:space="preserve">تغطي الوثيقة متطلبات الأعمال والمتطلبات الوظيفية وغير الوظيفية ومسارات العمل والتكاملات ومراحل التنفيذ ومعايير القبول. ولا تتناول التصميم التقني التفصيلي أو مواصفات البنية التحتية، إذ تُوثَّق تلك الجوانب في وثائق لاحقة (وثيقة المتطلبات الوظيفية التفصيلية FSD ووثيقة التصميم التقني TDD).</w:t>
      </w:r>
    </w:p>
    <w:p>
      <w:pPr>
        <w:pStyle w:val="Heading2"/>
        <w:keepNext/>
        <w:keepLines/>
        <w:bidi/>
        <w:spacing w:after="130" w:before="240"/>
      </w:pPr>
      <w:r>
        <w:rPr>
          <w:rFonts w:ascii="IBM Plex Sans Arabic" w:cs="IBM Plex Sans Arabic" w:eastAsia="IBM Plex Sans Arabic" w:hAnsi="IBM Plex Sans Arabic"/>
          <w:b/>
          <w:bCs/>
          <w:color w:val="098A4E"/>
          <w:sz w:val="25"/>
          <w:szCs w:val="25"/>
          <w:rtl/>
        </w:rPr>
        <w:t xml:space="preserve">2.3 الجمهور المستهدف</w:t>
      </w:r>
    </w:p>
    <w:p>
      <w:pPr>
        <w:keepNext w:val="false"/>
        <w:keepLines/>
        <w:bidi/>
        <w:spacing w:after="140" w:line="330"/>
        <w:jc w:val="both"/>
      </w:pPr>
      <w:r>
        <w:rPr>
          <w:rFonts w:ascii="Cairo" w:cs="Cairo" w:eastAsia="Cairo" w:hAnsi="Cairo"/>
          <w:b w:val="false"/>
          <w:bCs w:val="false"/>
          <w:color w:val="111815"/>
          <w:sz w:val="22"/>
          <w:szCs w:val="22"/>
          <w:rtl/>
        </w:rPr>
        <w:t xml:space="preserve">أصحاب الصلاحية في الهيئة، وأعضاء اللجان الإشرافية والتوجيهية، وفريق استدامة كفاءة الإنفاق، وإدارة تقنية المعلومات، والجهات المتقدمة لتنفيذ المشروع.</w:t>
      </w:r>
    </w:p>
    <w:p>
      <w:pPr>
        <w:pStyle w:val="Heading2"/>
        <w:keepNext/>
        <w:keepLines/>
        <w:bidi/>
        <w:spacing w:after="130" w:before="240"/>
      </w:pPr>
      <w:r>
        <w:rPr>
          <w:rFonts w:ascii="IBM Plex Sans Arabic" w:cs="IBM Plex Sans Arabic" w:eastAsia="IBM Plex Sans Arabic" w:hAnsi="IBM Plex Sans Arabic"/>
          <w:b/>
          <w:bCs/>
          <w:color w:val="098A4E"/>
          <w:sz w:val="25"/>
          <w:szCs w:val="25"/>
          <w:rtl/>
        </w:rPr>
        <w:t xml:space="preserve">2.4 المراجع</w:t>
      </w:r>
    </w:p>
    <w:p>
      <w:pPr>
        <w:pStyle w:val="ListParagraph"/>
        <w:keepNext/>
        <w:keepLines/>
        <w:numPr>
          <w:ilvl w:val="0"/>
          <w:numId w:val="2"/>
        </w:numPr>
        <w:bidi/>
        <w:spacing w:after="90" w:line="330"/>
        <w:jc w:val="both"/>
      </w:pPr>
      <w:r>
        <w:rPr>
          <w:rFonts w:ascii="Cairo" w:cs="Cairo" w:eastAsia="Cairo" w:hAnsi="Cairo"/>
          <w:b w:val="false"/>
          <w:bCs w:val="false"/>
          <w:color w:val="111815"/>
          <w:sz w:val="22"/>
          <w:szCs w:val="22"/>
          <w:rtl/>
        </w:rPr>
        <w:t xml:space="preserve">كراسة الشروط والمواصفات رقم (20000424) — مشروع تمكين استدامة كفاءة الإنفاق، المسار الثالث: المنصة المركزية للأتمتة.</w:t>
      </w:r>
    </w:p>
    <w:p>
      <w:pPr>
        <w:pStyle w:val="ListParagraph"/>
        <w:keepNext/>
        <w:keepLines/>
        <w:numPr>
          <w:ilvl w:val="0"/>
          <w:numId w:val="2"/>
        </w:numPr>
        <w:bidi/>
        <w:spacing w:after="90" w:line="330"/>
        <w:jc w:val="both"/>
      </w:pPr>
      <w:r>
        <w:rPr>
          <w:rFonts w:ascii="Cairo" w:cs="Cairo" w:eastAsia="Cairo" w:hAnsi="Cairo"/>
          <w:b w:val="false"/>
          <w:bCs w:val="false"/>
          <w:color w:val="111815"/>
          <w:sz w:val="22"/>
          <w:szCs w:val="22"/>
          <w:rtl/>
        </w:rPr>
        <w:t xml:space="preserve">أدلة هيئة كفاءة الإنفاق والمشروعات الحكومية (إكسبرو) — النموذج التشغيلي لفرق كفاءة الإنفاق وعملياته الأساسية الست.</w:t>
      </w:r>
    </w:p>
    <w:p>
      <w:pPr>
        <w:pStyle w:val="ListParagraph"/>
        <w:keepNext/>
        <w:keepLines/>
        <w:numPr>
          <w:ilvl w:val="0"/>
          <w:numId w:val="2"/>
        </w:numPr>
        <w:bidi/>
        <w:spacing w:after="90" w:line="330"/>
        <w:jc w:val="both"/>
      </w:pPr>
      <w:r>
        <w:rPr>
          <w:rFonts w:ascii="Cairo" w:cs="Cairo" w:eastAsia="Cairo" w:hAnsi="Cairo"/>
          <w:b w:val="false"/>
          <w:bCs w:val="false"/>
          <w:color w:val="111815"/>
          <w:sz w:val="22"/>
          <w:szCs w:val="22"/>
          <w:rtl/>
        </w:rPr>
        <w:t xml:space="preserve">دليل برنامج ركائز استدامة كفاءة الإنفاق — الركائز السبع ومعاييرها وسلم درجات النضج.</w:t>
      </w:r>
    </w:p>
    <w:p>
      <w:pPr>
        <w:pStyle w:val="ListParagraph"/>
        <w:keepNext w:val="false"/>
        <w:keepLines/>
        <w:numPr>
          <w:ilvl w:val="0"/>
          <w:numId w:val="2"/>
        </w:numPr>
        <w:bidi/>
        <w:spacing w:after="90" w:line="330"/>
        <w:jc w:val="both"/>
      </w:pPr>
      <w:r>
        <w:rPr>
          <w:rFonts w:ascii="Cairo" w:cs="Cairo" w:eastAsia="Cairo" w:hAnsi="Cairo"/>
          <w:b w:val="false"/>
          <w:bCs w:val="false"/>
          <w:color w:val="111815"/>
          <w:sz w:val="22"/>
          <w:szCs w:val="22"/>
          <w:rtl/>
        </w:rPr>
        <w:t xml:space="preserve">النموذج الأولي التفاعلي للمنصة (ثنائي اللغة) المعتمد مرجعاً وظيفياً وبصرياً لهذه الوثيقة.</w:t>
      </w:r>
    </w:p>
    <w:p>
      <w:pPr>
        <w:pStyle w:val="Heading1"/>
        <w:keepNext/>
        <w:keepLines/>
        <w:pageBreakBefore/>
        <w:bidi/>
        <w:spacing w:after="190" w:before="340"/>
      </w:pPr>
      <w:r>
        <w:rPr>
          <w:rFonts w:ascii="IBM Plex Sans Arabic" w:cs="IBM Plex Sans Arabic" w:eastAsia="IBM Plex Sans Arabic" w:hAnsi="IBM Plex Sans Arabic"/>
          <w:b/>
          <w:bCs/>
          <w:color w:val="0A3B27"/>
          <w:sz w:val="30"/>
          <w:szCs w:val="30"/>
          <w:rtl/>
        </w:rPr>
        <w:t xml:space="preserve">3. الخلفية والسياق</w:t>
      </w:r>
    </w:p>
    <w:p>
      <w:pPr>
        <w:keepNext w:val="false"/>
        <w:keepLines/>
        <w:bidi/>
        <w:spacing w:after="140" w:line="330"/>
        <w:jc w:val="both"/>
      </w:pPr>
      <w:r>
        <w:rPr>
          <w:rFonts w:ascii="Cairo" w:cs="Cairo" w:eastAsia="Cairo" w:hAnsi="Cairo"/>
          <w:b w:val="false"/>
          <w:bCs w:val="false"/>
          <w:color w:val="111815"/>
          <w:sz w:val="22"/>
          <w:szCs w:val="22"/>
          <w:rtl/>
        </w:rPr>
        <w:t xml:space="preserve">تلتزم الهيئة الملكية لمدينة الرياض ببرنامج ركائز استدامة كفاءة الإنفاق الذي تشرف عليه هيئة كفاءة الإنفاق والمشروعات الحكومية (إكسبرو)، ويقيس نضج ممارسات كفاءة الإنفاق عبر سبع ركائز تغطي دورة حياة الإنفاق كاملة، من القيادة والتخطيط إلى قياس الأثر.</w:t>
      </w:r>
    </w:p>
    <w:p>
      <w:pPr>
        <w:keepNext w:val="false"/>
        <w:keepLines/>
        <w:bidi/>
        <w:spacing w:after="140" w:line="330"/>
        <w:jc w:val="both"/>
      </w:pPr>
      <w:r>
        <w:rPr>
          <w:rFonts w:ascii="Cairo" w:cs="Cairo" w:eastAsia="Cairo" w:hAnsi="Cairo"/>
          <w:b w:val="false"/>
          <w:bCs w:val="false"/>
          <w:color w:val="111815"/>
          <w:sz w:val="22"/>
          <w:szCs w:val="22"/>
          <w:rtl/>
        </w:rPr>
        <w:t xml:space="preserve">تُدار أعمال الفريق حالياً عبر أدوات متفرقة (جداول بيانات ومراسلات ووثائق مستقلة)، مما يشتت البيانات ويصعّب تتبع المبادرات وطلبات التمويل والوثائق الداعمة، ويستهلك جهداً كبيراً في تجهيز التقارير الدورية وحزم التقييم، ويحد من جاهزية الهيئة الدائمة للتقييم المستقل.</w:t>
      </w:r>
    </w:p>
    <w:p>
      <w:pPr>
        <w:keepNext w:val="false"/>
        <w:keepLines/>
        <w:bidi/>
        <w:spacing w:after="140" w:line="330"/>
        <w:jc w:val="both"/>
      </w:pPr>
      <w:r>
        <w:rPr>
          <w:rFonts w:ascii="Cairo" w:cs="Cairo" w:eastAsia="Cairo" w:hAnsi="Cairo"/>
          <w:b w:val="false"/>
          <w:bCs w:val="false"/>
          <w:color w:val="111815"/>
          <w:sz w:val="22"/>
          <w:szCs w:val="22"/>
          <w:rtl/>
        </w:rPr>
        <w:t xml:space="preserve">وعليه تنشئ الهيئة — ضمن المسار الثالث من مشروع تمكين استدامة كفاءة الإنفاق — منصة مركزية واحدة تؤتمت عمليات النموذج التشغيلي الست وتوفر مصدراً واحداً موثوقاً للبيانات، بما يدعم بلوغ درجة </w:t>
      </w:r>
      <w:r>
        <w:rPr>
          <w:rFonts w:ascii="Cairo" w:cs="Cairo" w:eastAsia="Cairo" w:hAnsi="Cairo"/>
          <w:b/>
          <w:bCs/>
          <w:color w:val="9A7D33"/>
          <w:sz w:val="22"/>
          <w:szCs w:val="22"/>
          <w:rtl/>
        </w:rPr>
        <w:t xml:space="preserve">«متميز»</w:t>
      </w:r>
      <w:r>
        <w:rPr>
          <w:rFonts w:ascii="Cairo" w:cs="Cairo" w:eastAsia="Cairo" w:hAnsi="Cairo"/>
          <w:b w:val="false"/>
          <w:bCs w:val="false"/>
          <w:color w:val="111815"/>
          <w:sz w:val="22"/>
          <w:szCs w:val="22"/>
          <w:rtl/>
        </w:rPr>
        <w:t xml:space="preserve"> في تقييم البرنامج والمحافظة عليها في الدورات اللاحقة.</w:t>
      </w:r>
    </w:p>
    <w:p>
      <w:pPr>
        <w:pStyle w:val="Heading1"/>
        <w:keepNext/>
        <w:keepLines/>
        <w:pageBreakBefore/>
        <w:bidi/>
        <w:spacing w:after="190" w:before="340"/>
      </w:pPr>
      <w:r>
        <w:rPr>
          <w:rFonts w:ascii="IBM Plex Sans Arabic" w:cs="IBM Plex Sans Arabic" w:eastAsia="IBM Plex Sans Arabic" w:hAnsi="IBM Plex Sans Arabic"/>
          <w:b/>
          <w:bCs/>
          <w:color w:val="0A3B27"/>
          <w:sz w:val="30"/>
          <w:szCs w:val="30"/>
          <w:rtl/>
        </w:rPr>
        <w:t xml:space="preserve">4. أهداف المنصة ومؤشرات النجاح</w:t>
      </w:r>
    </w:p>
    <w:p>
      <w:pPr>
        <w:pStyle w:val="Heading2"/>
        <w:keepNext/>
        <w:keepLines/>
        <w:bidi/>
        <w:spacing w:after="130" w:before="240"/>
      </w:pPr>
      <w:r>
        <w:rPr>
          <w:rFonts w:ascii="IBM Plex Sans Arabic" w:cs="IBM Plex Sans Arabic" w:eastAsia="IBM Plex Sans Arabic" w:hAnsi="IBM Plex Sans Arabic"/>
          <w:b/>
          <w:bCs/>
          <w:color w:val="098A4E"/>
          <w:sz w:val="25"/>
          <w:szCs w:val="25"/>
          <w:rtl/>
        </w:rPr>
        <w:t xml:space="preserve">4.1 أهداف الأعمال</w:t>
      </w:r>
    </w:p>
    <w:p>
      <w:pPr>
        <w:pStyle w:val="ListParagraph"/>
        <w:keepNext/>
        <w:keepLines/>
        <w:numPr>
          <w:ilvl w:val="0"/>
          <w:numId w:val="2"/>
        </w:numPr>
        <w:bidi/>
        <w:spacing w:after="90" w:line="330"/>
        <w:jc w:val="both"/>
      </w:pPr>
      <w:r>
        <w:rPr>
          <w:rFonts w:ascii="Cairo" w:cs="Cairo" w:eastAsia="Cairo" w:hAnsi="Cairo"/>
          <w:b w:val="false"/>
          <w:bCs w:val="false"/>
          <w:color w:val="111815"/>
          <w:sz w:val="22"/>
          <w:szCs w:val="22"/>
          <w:rtl/>
        </w:rPr>
        <w:t xml:space="preserve">أتمتة العمليات الأساسية الست للنموذج التشغيلي لفرق كفاءة الإنفاق ضمن نظام واحد متكامل.</w:t>
      </w:r>
    </w:p>
    <w:p>
      <w:pPr>
        <w:pStyle w:val="ListParagraph"/>
        <w:keepNext/>
        <w:keepLines/>
        <w:numPr>
          <w:ilvl w:val="0"/>
          <w:numId w:val="2"/>
        </w:numPr>
        <w:bidi/>
        <w:spacing w:after="90" w:line="330"/>
        <w:jc w:val="both"/>
      </w:pPr>
      <w:r>
        <w:rPr>
          <w:rFonts w:ascii="Cairo" w:cs="Cairo" w:eastAsia="Cairo" w:hAnsi="Cairo"/>
          <w:b w:val="false"/>
          <w:bCs w:val="false"/>
          <w:color w:val="111815"/>
          <w:sz w:val="22"/>
          <w:szCs w:val="22"/>
          <w:rtl/>
        </w:rPr>
        <w:t xml:space="preserve">توفير مصدر واحد موثوق لبيانات المبادرات والأثر المالي وطلبات التمويل والدراسات والوثائق الداعمة.</w:t>
      </w:r>
    </w:p>
    <w:p>
      <w:pPr>
        <w:pStyle w:val="ListParagraph"/>
        <w:keepNext/>
        <w:keepLines/>
        <w:numPr>
          <w:ilvl w:val="0"/>
          <w:numId w:val="2"/>
        </w:numPr>
        <w:bidi/>
        <w:spacing w:after="90" w:line="330"/>
        <w:jc w:val="both"/>
      </w:pPr>
      <w:r>
        <w:rPr>
          <w:rFonts w:ascii="Cairo" w:cs="Cairo" w:eastAsia="Cairo" w:hAnsi="Cairo"/>
          <w:b w:val="false"/>
          <w:bCs w:val="false"/>
          <w:color w:val="111815"/>
          <w:sz w:val="22"/>
          <w:szCs w:val="22"/>
          <w:rtl/>
        </w:rPr>
        <w:t xml:space="preserve">تحقيق جاهزية دائمة لتقييم برنامج الركائز عبر إدارة مستمرة للمعايير والأدلة وخطط المعالجة.</w:t>
      </w:r>
    </w:p>
    <w:p>
      <w:pPr>
        <w:pStyle w:val="ListParagraph"/>
        <w:keepNext/>
        <w:keepLines/>
        <w:numPr>
          <w:ilvl w:val="0"/>
          <w:numId w:val="2"/>
        </w:numPr>
        <w:bidi/>
        <w:spacing w:after="90" w:line="330"/>
        <w:jc w:val="both"/>
      </w:pPr>
      <w:r>
        <w:rPr>
          <w:rFonts w:ascii="Cairo" w:cs="Cairo" w:eastAsia="Cairo" w:hAnsi="Cairo"/>
          <w:b w:val="false"/>
          <w:bCs w:val="false"/>
          <w:color w:val="111815"/>
          <w:sz w:val="22"/>
          <w:szCs w:val="22"/>
          <w:rtl/>
        </w:rPr>
        <w:t xml:space="preserve">رفع جودة طلبات التمويل واكتمال متطلباتها قبل رفعها لوزارة المالية.</w:t>
      </w:r>
    </w:p>
    <w:p>
      <w:pPr>
        <w:pStyle w:val="ListParagraph"/>
        <w:keepNext/>
        <w:keepLines/>
        <w:numPr>
          <w:ilvl w:val="0"/>
          <w:numId w:val="2"/>
        </w:numPr>
        <w:bidi/>
        <w:spacing w:after="90" w:line="330"/>
        <w:jc w:val="both"/>
      </w:pPr>
      <w:r>
        <w:rPr>
          <w:rFonts w:ascii="Cairo" w:cs="Cairo" w:eastAsia="Cairo" w:hAnsi="Cairo"/>
          <w:b w:val="false"/>
          <w:bCs w:val="false"/>
          <w:color w:val="111815"/>
          <w:sz w:val="22"/>
          <w:szCs w:val="22"/>
          <w:rtl/>
        </w:rPr>
        <w:t xml:space="preserve">إبراز الأثر المالي المحقق وتوثيقه وفق منهجية معتمدة من الشؤون المالية.</w:t>
      </w:r>
    </w:p>
    <w:p>
      <w:pPr>
        <w:pStyle w:val="ListParagraph"/>
        <w:keepNext w:val="false"/>
        <w:keepLines/>
        <w:numPr>
          <w:ilvl w:val="0"/>
          <w:numId w:val="2"/>
        </w:numPr>
        <w:bidi/>
        <w:spacing w:after="90" w:line="330"/>
        <w:jc w:val="both"/>
      </w:pPr>
      <w:r>
        <w:rPr>
          <w:rFonts w:ascii="Cairo" w:cs="Cairo" w:eastAsia="Cairo" w:hAnsi="Cairo"/>
          <w:b w:val="false"/>
          <w:bCs w:val="false"/>
          <w:color w:val="111815"/>
          <w:sz w:val="22"/>
          <w:szCs w:val="22"/>
          <w:rtl/>
        </w:rPr>
        <w:t xml:space="preserve">تمكين تجربة استخدام ثنائية اللغة (العربية أولاً مع الإنجليزية) على أجهزة الحاسب والأجهزة المحمولة.</w:t>
      </w:r>
    </w:p>
    <w:p>
      <w:pPr>
        <w:bidi/>
        <w:spacing w:after="120"/>
      </w:pPr>
    </w:p>
    <w:p>
      <w:pPr>
        <w:pStyle w:val="Heading2"/>
        <w:keepNext/>
        <w:keepLines/>
        <w:bidi/>
        <w:spacing w:after="130" w:before="240"/>
      </w:pPr>
      <w:r>
        <w:rPr>
          <w:rFonts w:ascii="IBM Plex Sans Arabic" w:cs="IBM Plex Sans Arabic" w:eastAsia="IBM Plex Sans Arabic" w:hAnsi="IBM Plex Sans Arabic"/>
          <w:b/>
          <w:bCs/>
          <w:color w:val="098A4E"/>
          <w:sz w:val="25"/>
          <w:szCs w:val="25"/>
          <w:rtl/>
        </w:rPr>
        <w:t xml:space="preserve">4.2 مؤشرات نجاح المنصة</w:t>
      </w:r>
    </w:p>
    <w:tbl>
      <w:tblPr>
        <w:bidiVisual/>
        <w:tblW w:type="dxa" w:w="9020"/>
        <w:tblBorders>
          <w:top w:val="single" w:color="D8E0DB" w:sz="4"/>
          <w:left w:val="single" w:color="D8E0DB" w:sz="4"/>
          <w:bottom w:val="single" w:color="D8E0DB" w:sz="4"/>
          <w:right w:val="single" w:color="D8E0DB" w:sz="4"/>
          <w:insideH w:val="single" w:color="D8E0DB" w:sz="4"/>
          <w:insideV w:val="single" w:color="D8E0DB" w:sz="4"/>
        </w:tblBorders>
      </w:tblPr>
      <w:tblGrid>
        <w:gridCol w:w="4520"/>
        <w:gridCol w:w="2400"/>
        <w:gridCol w:w="2100"/>
      </w:tblGrid>
      <w:tr>
        <w:trPr>
          <w:cantSplit/>
          <w:tblHeader/>
        </w:trPr>
        <w:tc>
          <w:tcPr>
            <w:tcW w:type="dxa" w:w="452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المؤشر</w:t>
            </w:r>
          </w:p>
        </w:tc>
        <w:tc>
          <w:tcPr>
            <w:tcW w:type="dxa" w:w="240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خط الأساس</w:t>
            </w:r>
          </w:p>
        </w:tc>
        <w:tc>
          <w:tcPr>
            <w:tcW w:type="dxa" w:w="210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المستهدف</w:t>
            </w:r>
          </w:p>
        </w:tc>
      </w:tr>
      <w:tr>
        <w:trPr>
          <w:cantSplit/>
          <w:tblHeader w:val="false"/>
        </w:trPr>
        <w:tc>
          <w:tcPr>
            <w:tcW w:type="dxa" w:w="45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درجة تقييم برنامج الركائز (المحاكاة المستقلة)</w:t>
            </w:r>
          </w:p>
        </w:tc>
        <w:tc>
          <w:tcPr>
            <w:tcW w:type="dxa" w:w="24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3.5 من 5</w:t>
            </w:r>
          </w:p>
        </w:tc>
        <w:tc>
          <w:tcPr>
            <w:tcW w:type="dxa" w:w="21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4.5 فأكثر («متميز»)</w:t>
            </w:r>
          </w:p>
        </w:tc>
      </w:tr>
      <w:tr>
        <w:trPr>
          <w:cantSplit/>
          <w:tblHeader w:val="false"/>
        </w:trPr>
        <w:tc>
          <w:tcPr>
            <w:tcW w:type="dxa" w:w="45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نسبة اكتمال الوثائق الداعمة للمعايير</w:t>
            </w:r>
          </w:p>
        </w:tc>
        <w:tc>
          <w:tcPr>
            <w:tcW w:type="dxa" w:w="24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67%</w:t>
            </w:r>
          </w:p>
        </w:tc>
        <w:tc>
          <w:tcPr>
            <w:tcW w:type="dxa" w:w="21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95% فأكثر</w:t>
            </w:r>
          </w:p>
        </w:tc>
      </w:tr>
      <w:tr>
        <w:trPr>
          <w:cantSplit/>
          <w:tblHeader w:val="false"/>
        </w:trPr>
        <w:tc>
          <w:tcPr>
            <w:tcW w:type="dxa" w:w="45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متوسط زمن دورة مراجعة طلب التمويل</w:t>
            </w:r>
          </w:p>
        </w:tc>
        <w:tc>
          <w:tcPr>
            <w:tcW w:type="dxa" w:w="24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يُقاس عند الإطلاق</w:t>
            </w:r>
          </w:p>
        </w:tc>
        <w:tc>
          <w:tcPr>
            <w:tcW w:type="dxa" w:w="21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خفض بنسبة 30%</w:t>
            </w:r>
          </w:p>
        </w:tc>
      </w:tr>
      <w:tr>
        <w:trPr>
          <w:cantSplit/>
          <w:tblHeader w:val="false"/>
        </w:trPr>
        <w:tc>
          <w:tcPr>
            <w:tcW w:type="dxa" w:w="45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نسبة الطلبات المكتملة المتطلبات من أول رفع</w:t>
            </w:r>
          </w:p>
        </w:tc>
        <w:tc>
          <w:tcPr>
            <w:tcW w:type="dxa" w:w="24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58%</w:t>
            </w:r>
          </w:p>
        </w:tc>
        <w:tc>
          <w:tcPr>
            <w:tcW w:type="dxa" w:w="21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85% فأكثر</w:t>
            </w:r>
          </w:p>
        </w:tc>
      </w:tr>
      <w:tr>
        <w:trPr>
          <w:cantSplit/>
          <w:tblHeader w:val="false"/>
        </w:trPr>
        <w:tc>
          <w:tcPr>
            <w:tcW w:type="dxa" w:w="452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نسبة المستخدمين النشطين من المستهدفين</w:t>
            </w:r>
          </w:p>
        </w:tc>
        <w:tc>
          <w:tcPr>
            <w:tcW w:type="dxa" w:w="240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w:t>
            </w:r>
          </w:p>
        </w:tc>
        <w:tc>
          <w:tcPr>
            <w:tcW w:type="dxa" w:w="210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90% فأكثر</w:t>
            </w:r>
          </w:p>
        </w:tc>
      </w:tr>
    </w:tbl>
    <w:p>
      <w:pPr>
        <w:pStyle w:val="Heading1"/>
        <w:keepNext/>
        <w:keepLines/>
        <w:pageBreakBefore/>
        <w:bidi/>
        <w:spacing w:after="190" w:before="340"/>
      </w:pPr>
      <w:r>
        <w:rPr>
          <w:rFonts w:ascii="IBM Plex Sans Arabic" w:cs="IBM Plex Sans Arabic" w:eastAsia="IBM Plex Sans Arabic" w:hAnsi="IBM Plex Sans Arabic"/>
          <w:b/>
          <w:bCs/>
          <w:color w:val="0A3B27"/>
          <w:sz w:val="30"/>
          <w:szCs w:val="30"/>
          <w:rtl/>
        </w:rPr>
        <w:t xml:space="preserve">5. نطاق العمل</w:t>
      </w:r>
    </w:p>
    <w:p>
      <w:pPr>
        <w:pStyle w:val="Heading2"/>
        <w:keepNext/>
        <w:keepLines/>
        <w:bidi/>
        <w:spacing w:after="130" w:before="240"/>
      </w:pPr>
      <w:r>
        <w:rPr>
          <w:rFonts w:ascii="IBM Plex Sans Arabic" w:cs="IBM Plex Sans Arabic" w:eastAsia="IBM Plex Sans Arabic" w:hAnsi="IBM Plex Sans Arabic"/>
          <w:b/>
          <w:bCs/>
          <w:color w:val="098A4E"/>
          <w:sz w:val="25"/>
          <w:szCs w:val="25"/>
          <w:rtl/>
        </w:rPr>
        <w:t xml:space="preserve">5.1 ضمن النطاق</w:t>
      </w:r>
    </w:p>
    <w:p>
      <w:pPr>
        <w:keepNext/>
        <w:keepLines/>
        <w:bidi/>
        <w:spacing w:after="140" w:line="330"/>
        <w:jc w:val="both"/>
      </w:pPr>
      <w:r>
        <w:rPr>
          <w:rFonts w:ascii="Cairo" w:cs="Cairo" w:eastAsia="Cairo" w:hAnsi="Cairo"/>
          <w:b w:val="false"/>
          <w:bCs w:val="false"/>
          <w:color w:val="111815"/>
          <w:sz w:val="22"/>
          <w:szCs w:val="22"/>
          <w:rtl/>
        </w:rPr>
        <w:t xml:space="preserve">تشمل المنصة اثنتي عشرة خدمة وظيفية تفصَّل متطلباتها في القسم السابع، إضافة إلى خمس خدمات منصّية مساندة:</w:t>
      </w:r>
    </w:p>
    <w:p>
      <w:pPr>
        <w:pStyle w:val="ListParagraph"/>
        <w:keepNext/>
        <w:keepLines/>
        <w:numPr>
          <w:ilvl w:val="0"/>
          <w:numId w:val="2"/>
        </w:numPr>
        <w:bidi/>
        <w:spacing w:after="90" w:line="330"/>
        <w:jc w:val="both"/>
      </w:pPr>
      <w:r>
        <w:rPr>
          <w:rFonts w:ascii="Cairo" w:cs="Cairo" w:eastAsia="Cairo" w:hAnsi="Cairo"/>
          <w:b/>
          <w:bCs/>
          <w:color w:val="111815"/>
          <w:sz w:val="22"/>
          <w:szCs w:val="22"/>
          <w:rtl/>
        </w:rPr>
        <w:t xml:space="preserve">الخدمات الوظيفية: </w:t>
      </w:r>
      <w:r>
        <w:rPr>
          <w:rFonts w:ascii="Cairo" w:cs="Cairo" w:eastAsia="Cairo" w:hAnsi="Cairo"/>
          <w:b w:val="false"/>
          <w:bCs w:val="false"/>
          <w:color w:val="111815"/>
          <w:sz w:val="22"/>
          <w:szCs w:val="22"/>
          <w:rtl/>
        </w:rPr>
        <w:t xml:space="preserve">لوحة القيادة التنفيذية، إدارة تقييم النضج (الركائز)، إدارة دورة حياة المبادرات، قياس الأثر المالي، إدارة طلبات التمويل (لائحة التعقب)، إدارة الدراسات، دليل الخدمات وتكلفتها، الميزانية ومراجعات الإنفاق، مؤشرات الأداء، الحوكمة، القدرات والثقافة، التقارير.</w:t>
      </w:r>
    </w:p>
    <w:p>
      <w:pPr>
        <w:pStyle w:val="ListParagraph"/>
        <w:keepNext w:val="false"/>
        <w:keepLines/>
        <w:numPr>
          <w:ilvl w:val="0"/>
          <w:numId w:val="2"/>
        </w:numPr>
        <w:bidi/>
        <w:spacing w:after="90" w:line="330"/>
        <w:jc w:val="both"/>
      </w:pPr>
      <w:r>
        <w:rPr>
          <w:rFonts w:ascii="Cairo" w:cs="Cairo" w:eastAsia="Cairo" w:hAnsi="Cairo"/>
          <w:b/>
          <w:bCs/>
          <w:color w:val="111815"/>
          <w:sz w:val="22"/>
          <w:szCs w:val="22"/>
          <w:rtl/>
        </w:rPr>
        <w:t xml:space="preserve">الخدمات المنصّية: </w:t>
      </w:r>
      <w:r>
        <w:rPr>
          <w:rFonts w:ascii="Cairo" w:cs="Cairo" w:eastAsia="Cairo" w:hAnsi="Cairo"/>
          <w:b w:val="false"/>
          <w:bCs w:val="false"/>
          <w:color w:val="111815"/>
          <w:sz w:val="22"/>
          <w:szCs w:val="22"/>
          <w:rtl/>
        </w:rPr>
        <w:t xml:space="preserve">إدارة الهوية والصلاحيات (الدخول الموحد)، الإشعارات والتنبيهات، التكاملات مع الأنظمة المصدر، سجلات التدقيق وإدارة البيانات، إدارة المحتوى ثنائي اللغة.</w:t>
      </w:r>
    </w:p>
    <w:p>
      <w:pPr>
        <w:bidi/>
        <w:spacing w:after="120"/>
      </w:pPr>
    </w:p>
    <w:p>
      <w:pPr>
        <w:pStyle w:val="Heading2"/>
        <w:keepNext/>
        <w:keepLines/>
        <w:bidi/>
        <w:spacing w:after="130" w:before="240"/>
      </w:pPr>
      <w:r>
        <w:rPr>
          <w:rFonts w:ascii="IBM Plex Sans Arabic" w:cs="IBM Plex Sans Arabic" w:eastAsia="IBM Plex Sans Arabic" w:hAnsi="IBM Plex Sans Arabic"/>
          <w:b/>
          <w:bCs/>
          <w:color w:val="098A4E"/>
          <w:sz w:val="25"/>
          <w:szCs w:val="25"/>
          <w:rtl/>
        </w:rPr>
        <w:t xml:space="preserve">5.2 خارج النطاق</w:t>
      </w:r>
    </w:p>
    <w:p>
      <w:pPr>
        <w:pStyle w:val="ListParagraph"/>
        <w:keepNext/>
        <w:keepLines/>
        <w:numPr>
          <w:ilvl w:val="0"/>
          <w:numId w:val="2"/>
        </w:numPr>
        <w:bidi/>
        <w:spacing w:after="90" w:line="330"/>
        <w:jc w:val="both"/>
      </w:pPr>
      <w:r>
        <w:rPr>
          <w:rFonts w:ascii="Cairo" w:cs="Cairo" w:eastAsia="Cairo" w:hAnsi="Cairo"/>
          <w:b w:val="false"/>
          <w:bCs w:val="false"/>
          <w:color w:val="111815"/>
          <w:sz w:val="22"/>
          <w:szCs w:val="22"/>
          <w:rtl/>
        </w:rPr>
        <w:t xml:space="preserve">تنفيذ المبادرات نفسها أو إدارة مشاريعها التفصيلية (تبقى ضمن أنظمة إدارة المشاريع القائمة).</w:t>
      </w:r>
    </w:p>
    <w:p>
      <w:pPr>
        <w:pStyle w:val="ListParagraph"/>
        <w:keepNext/>
        <w:keepLines/>
        <w:numPr>
          <w:ilvl w:val="0"/>
          <w:numId w:val="2"/>
        </w:numPr>
        <w:bidi/>
        <w:spacing w:after="90" w:line="330"/>
        <w:jc w:val="both"/>
      </w:pPr>
      <w:r>
        <w:rPr>
          <w:rFonts w:ascii="Cairo" w:cs="Cairo" w:eastAsia="Cairo" w:hAnsi="Cairo"/>
          <w:b w:val="false"/>
          <w:bCs w:val="false"/>
          <w:color w:val="111815"/>
          <w:sz w:val="22"/>
          <w:szCs w:val="22"/>
          <w:rtl/>
        </w:rPr>
        <w:t xml:space="preserve">الأنظمة المالية المصدر (تخطيط الموارد، منصة اعتماد) — تتكامل المنصة معها ولا تحل محلها.</w:t>
      </w:r>
    </w:p>
    <w:p>
      <w:pPr>
        <w:pStyle w:val="ListParagraph"/>
        <w:keepNext/>
        <w:keepLines/>
        <w:numPr>
          <w:ilvl w:val="0"/>
          <w:numId w:val="2"/>
        </w:numPr>
        <w:bidi/>
        <w:spacing w:after="90" w:line="330"/>
        <w:jc w:val="both"/>
      </w:pPr>
      <w:r>
        <w:rPr>
          <w:rFonts w:ascii="Cairo" w:cs="Cairo" w:eastAsia="Cairo" w:hAnsi="Cairo"/>
          <w:b w:val="false"/>
          <w:bCs w:val="false"/>
          <w:color w:val="111815"/>
          <w:sz w:val="22"/>
          <w:szCs w:val="22"/>
          <w:rtl/>
        </w:rPr>
        <w:t xml:space="preserve">قرارات إكسبرو التقييمية ونتائج التقييم المستقل الرسمي.</w:t>
      </w:r>
    </w:p>
    <w:p>
      <w:pPr>
        <w:pStyle w:val="ListParagraph"/>
        <w:keepNext w:val="false"/>
        <w:keepLines/>
        <w:numPr>
          <w:ilvl w:val="0"/>
          <w:numId w:val="2"/>
        </w:numPr>
        <w:bidi/>
        <w:spacing w:after="90" w:line="330"/>
        <w:jc w:val="both"/>
      </w:pPr>
      <w:r>
        <w:rPr>
          <w:rFonts w:ascii="Cairo" w:cs="Cairo" w:eastAsia="Cairo" w:hAnsi="Cairo"/>
          <w:b w:val="false"/>
          <w:bCs w:val="false"/>
          <w:color w:val="111815"/>
          <w:sz w:val="22"/>
          <w:szCs w:val="22"/>
          <w:rtl/>
        </w:rPr>
        <w:t xml:space="preserve">أعمال إعادة هيكلة العمليات خارج نطاق النموذج التشغيلي لفرق كفاءة الإنفاق.</w:t>
      </w:r>
    </w:p>
    <w:p>
      <w:pPr>
        <w:pStyle w:val="Heading1"/>
        <w:keepNext/>
        <w:keepLines/>
        <w:pageBreakBefore/>
        <w:bidi/>
        <w:spacing w:after="190" w:before="340"/>
      </w:pPr>
      <w:r>
        <w:rPr>
          <w:rFonts w:ascii="IBM Plex Sans Arabic" w:cs="IBM Plex Sans Arabic" w:eastAsia="IBM Plex Sans Arabic" w:hAnsi="IBM Plex Sans Arabic"/>
          <w:b/>
          <w:bCs/>
          <w:color w:val="0A3B27"/>
          <w:sz w:val="30"/>
          <w:szCs w:val="30"/>
          <w:rtl/>
        </w:rPr>
        <w:t xml:space="preserve">6. أصحاب المصلحة والأدوار والصلاحيات</w:t>
      </w:r>
    </w:p>
    <w:p>
      <w:pPr>
        <w:keepNext/>
        <w:keepLines/>
        <w:bidi/>
        <w:spacing w:after="140" w:line="330"/>
        <w:jc w:val="both"/>
      </w:pPr>
      <w:r>
        <w:rPr>
          <w:rFonts w:ascii="Cairo" w:cs="Cairo" w:eastAsia="Cairo" w:hAnsi="Cairo"/>
          <w:b w:val="false"/>
          <w:bCs w:val="false"/>
          <w:color w:val="111815"/>
          <w:sz w:val="22"/>
          <w:szCs w:val="22"/>
          <w:rtl/>
        </w:rPr>
        <w:t xml:space="preserve">يعتمد نموذج الصلاحيات على الأدوار التالية، ويُدار الإسناد عبر الدخول الموحد للهيئة:</w:t>
      </w:r>
    </w:p>
    <w:tbl>
      <w:tblPr>
        <w:bidiVisual/>
        <w:tblW w:type="dxa" w:w="9020"/>
        <w:tblBorders>
          <w:top w:val="single" w:color="D8E0DB" w:sz="4"/>
          <w:left w:val="single" w:color="D8E0DB" w:sz="4"/>
          <w:bottom w:val="single" w:color="D8E0DB" w:sz="4"/>
          <w:right w:val="single" w:color="D8E0DB" w:sz="4"/>
          <w:insideH w:val="single" w:color="D8E0DB" w:sz="4"/>
          <w:insideV w:val="single" w:color="D8E0DB" w:sz="4"/>
        </w:tblBorders>
      </w:tblPr>
      <w:tblGrid>
        <w:gridCol w:w="2350"/>
        <w:gridCol w:w="4070"/>
        <w:gridCol w:w="2600"/>
      </w:tblGrid>
      <w:tr>
        <w:trPr>
          <w:cantSplit/>
          <w:tblHeader/>
        </w:trPr>
        <w:tc>
          <w:tcPr>
            <w:tcW w:type="dxa" w:w="235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الدور</w:t>
            </w:r>
          </w:p>
        </w:tc>
        <w:tc>
          <w:tcPr>
            <w:tcW w:type="dxa" w:w="407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المسؤولية في المنصة</w:t>
            </w:r>
          </w:p>
        </w:tc>
        <w:tc>
          <w:tcPr>
            <w:tcW w:type="dxa" w:w="260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الصلاحيات الرئيسية</w:t>
            </w:r>
          </w:p>
        </w:tc>
      </w:tr>
      <w:tr>
        <w:trPr>
          <w:cantSplit/>
          <w:tblHeader w:val="false"/>
        </w:trPr>
        <w:tc>
          <w:tcPr>
            <w:tcW w:type="dxa" w:w="235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الرئيس التنفيذي (المسؤول الأول)</w:t>
            </w:r>
          </w:p>
        </w:tc>
        <w:tc>
          <w:tcPr>
            <w:tcW w:type="dxa" w:w="407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الاعتماد النهائي لطلبات التمويل والتقارير المرفوعة</w:t>
            </w:r>
          </w:p>
        </w:tc>
        <w:tc>
          <w:tcPr>
            <w:tcW w:type="dxa" w:w="26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اعتماد نهائي، اطلاع شامل</w:t>
            </w:r>
          </w:p>
        </w:tc>
      </w:tr>
      <w:tr>
        <w:trPr>
          <w:cantSplit/>
          <w:tblHeader w:val="false"/>
        </w:trPr>
        <w:tc>
          <w:tcPr>
            <w:tcW w:type="dxa" w:w="235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اللجنة التوجيهية</w:t>
            </w:r>
          </w:p>
        </w:tc>
        <w:tc>
          <w:tcPr>
            <w:tcW w:type="dxa" w:w="407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اعتماد المبادرات والسياسات ومخرجات مراجعات الإنفاق</w:t>
            </w:r>
          </w:p>
        </w:tc>
        <w:tc>
          <w:tcPr>
            <w:tcW w:type="dxa" w:w="26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اعتماد، متابعة تنفيذية</w:t>
            </w:r>
          </w:p>
        </w:tc>
      </w:tr>
      <w:tr>
        <w:trPr>
          <w:cantSplit/>
          <w:tblHeader w:val="false"/>
        </w:trPr>
        <w:tc>
          <w:tcPr>
            <w:tcW w:type="dxa" w:w="235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اللجنة الإشرافية</w:t>
            </w:r>
          </w:p>
        </w:tc>
        <w:tc>
          <w:tcPr>
            <w:tcW w:type="dxa" w:w="407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المتابعة الشهرية وقرارات المعالجة والتكريم</w:t>
            </w:r>
          </w:p>
        </w:tc>
        <w:tc>
          <w:tcPr>
            <w:tcW w:type="dxa" w:w="26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متابعة، قرارات، تصعيد</w:t>
            </w:r>
          </w:p>
        </w:tc>
      </w:tr>
      <w:tr>
        <w:trPr>
          <w:cantSplit/>
          <w:tblHeader w:val="false"/>
        </w:trPr>
        <w:tc>
          <w:tcPr>
            <w:tcW w:type="dxa" w:w="235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قائد فريق كفاءة الإنفاق</w:t>
            </w:r>
          </w:p>
        </w:tc>
        <w:tc>
          <w:tcPr>
            <w:tcW w:type="dxa" w:w="407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إدارة المنصة تشغيلياً ومراجعة المخرجات قبل الاعتماد</w:t>
            </w:r>
          </w:p>
        </w:tc>
        <w:tc>
          <w:tcPr>
            <w:tcW w:type="dxa" w:w="26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مراجعة، إدارة شاملة</w:t>
            </w:r>
          </w:p>
        </w:tc>
      </w:tr>
      <w:tr>
        <w:trPr>
          <w:cantSplit/>
          <w:tblHeader w:val="false"/>
        </w:trPr>
        <w:tc>
          <w:tcPr>
            <w:tcW w:type="dxa" w:w="235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ملاك الركائز</w:t>
            </w:r>
          </w:p>
        </w:tc>
        <w:tc>
          <w:tcPr>
            <w:tcW w:type="dxa" w:w="407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تقييم المعايير وإدارة الأدلة وخطط المعالجة لركائزهم</w:t>
            </w:r>
          </w:p>
        </w:tc>
        <w:tc>
          <w:tcPr>
            <w:tcW w:type="dxa" w:w="26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تحرير ضمن الركيزة</w:t>
            </w:r>
          </w:p>
        </w:tc>
      </w:tr>
      <w:tr>
        <w:trPr>
          <w:cantSplit/>
          <w:tblHeader w:val="false"/>
        </w:trPr>
        <w:tc>
          <w:tcPr>
            <w:tcW w:type="dxa" w:w="235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المقيّمون</w:t>
            </w:r>
          </w:p>
        </w:tc>
        <w:tc>
          <w:tcPr>
            <w:tcW w:type="dxa" w:w="407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المراجعة الأولى لطلبات التمويل ومدخلات التقييم</w:t>
            </w:r>
          </w:p>
        </w:tc>
        <w:tc>
          <w:tcPr>
            <w:tcW w:type="dxa" w:w="26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مراجعة، إعادة للاستكمال</w:t>
            </w:r>
          </w:p>
        </w:tc>
      </w:tr>
      <w:tr>
        <w:trPr>
          <w:cantSplit/>
          <w:tblHeader w:val="false"/>
        </w:trPr>
        <w:tc>
          <w:tcPr>
            <w:tcW w:type="dxa" w:w="235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الشؤون المالية</w:t>
            </w:r>
          </w:p>
        </w:tc>
        <w:tc>
          <w:tcPr>
            <w:tcW w:type="dxa" w:w="407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التحقق المالي من الأثر واعتماد التكاليف</w:t>
            </w:r>
          </w:p>
        </w:tc>
        <w:tc>
          <w:tcPr>
            <w:tcW w:type="dxa" w:w="26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تحقق واعتماد مالي</w:t>
            </w:r>
          </w:p>
        </w:tc>
      </w:tr>
      <w:tr>
        <w:trPr>
          <w:cantSplit/>
          <w:tblHeader w:val="false"/>
        </w:trPr>
        <w:tc>
          <w:tcPr>
            <w:tcW w:type="dxa" w:w="235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ملاك المبادرات</w:t>
            </w:r>
          </w:p>
        </w:tc>
        <w:tc>
          <w:tcPr>
            <w:tcW w:type="dxa" w:w="407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تحديث بيانات مبادراتهم وأثرها ووثائقها</w:t>
            </w:r>
          </w:p>
        </w:tc>
        <w:tc>
          <w:tcPr>
            <w:tcW w:type="dxa" w:w="26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تحرير ضمن المبادرة</w:t>
            </w:r>
          </w:p>
        </w:tc>
      </w:tr>
      <w:tr>
        <w:trPr>
          <w:cantSplit/>
          <w:tblHeader w:val="false"/>
        </w:trPr>
        <w:tc>
          <w:tcPr>
            <w:tcW w:type="dxa" w:w="235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إدارة تقنية المعلومات</w:t>
            </w:r>
          </w:p>
        </w:tc>
        <w:tc>
          <w:tcPr>
            <w:tcW w:type="dxa" w:w="407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تشغيل المنصة وإدارة المستخدمين والتكاملات</w:t>
            </w:r>
          </w:p>
        </w:tc>
        <w:tc>
          <w:tcPr>
            <w:tcW w:type="dxa" w:w="26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إدارة تقنية</w:t>
            </w:r>
          </w:p>
        </w:tc>
      </w:tr>
      <w:tr>
        <w:trPr>
          <w:cantSplit/>
          <w:tblHeader w:val="false"/>
        </w:trPr>
        <w:tc>
          <w:tcPr>
            <w:tcW w:type="dxa" w:w="235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جهات خارجية (إكسبرو، وزارة المالية)</w:t>
            </w:r>
          </w:p>
        </w:tc>
        <w:tc>
          <w:tcPr>
            <w:tcW w:type="dxa" w:w="407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استقبال الحزم والتقارير المرفوعة</w:t>
            </w:r>
          </w:p>
        </w:tc>
        <w:tc>
          <w:tcPr>
            <w:tcW w:type="dxa" w:w="260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لا دخول مباشر — عبر مخرجات معتمدة</w:t>
            </w:r>
          </w:p>
        </w:tc>
      </w:tr>
    </w:tbl>
    <w:p>
      <w:pPr>
        <w:pStyle w:val="Heading1"/>
        <w:keepNext/>
        <w:keepLines/>
        <w:pageBreakBefore/>
        <w:bidi/>
        <w:spacing w:after="190" w:before="340"/>
      </w:pPr>
      <w:r>
        <w:rPr>
          <w:rFonts w:ascii="IBM Plex Sans Arabic" w:cs="IBM Plex Sans Arabic" w:eastAsia="IBM Plex Sans Arabic" w:hAnsi="IBM Plex Sans Arabic"/>
          <w:b/>
          <w:bCs/>
          <w:color w:val="0A3B27"/>
          <w:sz w:val="30"/>
          <w:szCs w:val="30"/>
          <w:rtl/>
        </w:rPr>
        <w:t xml:space="preserve">7. الخدمات والمتطلبات الوظيفية</w:t>
      </w:r>
    </w:p>
    <w:p>
      <w:pPr>
        <w:keepNext w:val="false"/>
        <w:keepLines/>
        <w:bidi/>
        <w:spacing w:after="140" w:line="330"/>
        <w:jc w:val="both"/>
      </w:pPr>
      <w:r>
        <w:rPr>
          <w:rFonts w:ascii="Cairo" w:cs="Cairo" w:eastAsia="Cairo" w:hAnsi="Cairo"/>
          <w:b w:val="false"/>
          <w:bCs w:val="false"/>
          <w:color w:val="111815"/>
          <w:sz w:val="22"/>
          <w:szCs w:val="22"/>
          <w:rtl/>
        </w:rPr>
        <w:t xml:space="preserve">تُرمَّز المتطلبات بصيغة FR-س-ت حيث «س» رقم الخدمة و«ت» رقم المتطلب. وتُعد جميع المتطلبات أدناه إلزامية ما لم يُنص على خلاف ذلك.</w:t>
      </w:r>
    </w:p>
    <w:p>
      <w:pPr>
        <w:pStyle w:val="Heading2"/>
        <w:keepNext/>
        <w:keepLines/>
        <w:bidi/>
        <w:spacing w:after="130" w:before="240"/>
      </w:pPr>
      <w:r>
        <w:rPr>
          <w:rFonts w:ascii="IBM Plex Sans Arabic" w:cs="IBM Plex Sans Arabic" w:eastAsia="IBM Plex Sans Arabic" w:hAnsi="IBM Plex Sans Arabic"/>
          <w:b/>
          <w:bCs/>
          <w:color w:val="098A4E"/>
          <w:sz w:val="25"/>
          <w:szCs w:val="25"/>
          <w:rtl/>
        </w:rPr>
        <w:t xml:space="preserve">7.1 لوحة القيادة التنفيذية</w:t>
      </w:r>
    </w:p>
    <w:p>
      <w:pPr>
        <w:keepNext/>
        <w:keepLines/>
        <w:bidi/>
        <w:spacing w:after="140" w:line="330"/>
        <w:jc w:val="both"/>
      </w:pPr>
      <w:r>
        <w:rPr>
          <w:rFonts w:ascii="Cairo" w:cs="Cairo" w:eastAsia="Cairo" w:hAnsi="Cairo"/>
          <w:b w:val="false"/>
          <w:bCs w:val="false"/>
          <w:color w:val="111815"/>
          <w:sz w:val="22"/>
          <w:szCs w:val="22"/>
          <w:rtl/>
        </w:rPr>
        <w:t xml:space="preserve">شاشة رئيسية تعرض الجاهزية الشاملة لبرنامج الركائز ومسار الأثر المالي والتنبيهات التي تستدعي إجراء.</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FR-01-01: </w:t>
      </w:r>
      <w:r>
        <w:rPr>
          <w:rFonts w:ascii="Cairo" w:cs="Cairo" w:eastAsia="Cairo" w:hAnsi="Cairo"/>
          <w:b w:val="false"/>
          <w:bCs w:val="false"/>
          <w:color w:val="111815"/>
          <w:sz w:val="22"/>
          <w:szCs w:val="22"/>
          <w:rtl/>
        </w:rPr>
        <w:t xml:space="preserve">عرض الدرجة الشاملة للنضج (ذاتي ومحاكاة) مقابل مستهدف «متميز» على مسار زمني واضح.</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FR-01-02: </w:t>
      </w:r>
      <w:r>
        <w:rPr>
          <w:rFonts w:ascii="Cairo" w:cs="Cairo" w:eastAsia="Cairo" w:hAnsi="Cairo"/>
          <w:b w:val="false"/>
          <w:bCs w:val="false"/>
          <w:color w:val="111815"/>
          <w:sz w:val="22"/>
          <w:szCs w:val="22"/>
          <w:rtl/>
        </w:rPr>
        <w:t xml:space="preserve">عرض الأثر المالي المحقق مقابل المخطط شهرياً، ونضج الركائز السبع، وتوزيع المبادرات على مراحلها.</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FR-01-03: </w:t>
      </w:r>
      <w:r>
        <w:rPr>
          <w:rFonts w:ascii="Cairo" w:cs="Cairo" w:eastAsia="Cairo" w:hAnsi="Cairo"/>
          <w:b w:val="false"/>
          <w:bCs w:val="false"/>
          <w:color w:val="111815"/>
          <w:sz w:val="22"/>
          <w:szCs w:val="22"/>
          <w:rtl/>
        </w:rPr>
        <w:t xml:space="preserve">توليد تنبيهات تلقائية من بيانات المنصة (مبادرات متعثرة، طلبات معادة، وثائق ناقصة) مع إحالة مباشرة إلى سجلها.</w:t>
      </w:r>
    </w:p>
    <w:p>
      <w:pPr>
        <w:pStyle w:val="ListParagraph"/>
        <w:keepNext w:val="false"/>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FR-01-04: </w:t>
      </w:r>
      <w:r>
        <w:rPr>
          <w:rFonts w:ascii="Cairo" w:cs="Cairo" w:eastAsia="Cairo" w:hAnsi="Cairo"/>
          <w:b w:val="false"/>
          <w:bCs w:val="false"/>
          <w:color w:val="111815"/>
          <w:sz w:val="22"/>
          <w:szCs w:val="22"/>
          <w:rtl/>
        </w:rPr>
        <w:t xml:space="preserve">عدادات زمنية لاستحقاقات دورة التقييم (التقييم الذاتي، المحاكاة، الرفع).</w:t>
      </w:r>
    </w:p>
    <w:p>
      <w:pPr>
        <w:pStyle w:val="Heading2"/>
        <w:keepNext/>
        <w:keepLines/>
        <w:bidi/>
        <w:spacing w:after="130" w:before="240"/>
      </w:pPr>
      <w:r>
        <w:rPr>
          <w:rFonts w:ascii="IBM Plex Sans Arabic" w:cs="IBM Plex Sans Arabic" w:eastAsia="IBM Plex Sans Arabic" w:hAnsi="IBM Plex Sans Arabic"/>
          <w:b/>
          <w:bCs/>
          <w:color w:val="098A4E"/>
          <w:sz w:val="25"/>
          <w:szCs w:val="25"/>
          <w:rtl/>
        </w:rPr>
        <w:t xml:space="preserve">7.2 إدارة تقييم النضج (برنامج الركائز)</w:t>
      </w:r>
    </w:p>
    <w:p>
      <w:pPr>
        <w:keepNext/>
        <w:keepLines/>
        <w:bidi/>
        <w:spacing w:after="140" w:line="330"/>
        <w:jc w:val="both"/>
      </w:pPr>
      <w:r>
        <w:rPr>
          <w:rFonts w:ascii="Cairo" w:cs="Cairo" w:eastAsia="Cairo" w:hAnsi="Cairo"/>
          <w:b w:val="false"/>
          <w:bCs w:val="false"/>
          <w:color w:val="111815"/>
          <w:sz w:val="22"/>
          <w:szCs w:val="22"/>
          <w:rtl/>
        </w:rPr>
        <w:t xml:space="preserve">إدارة كاملة لدورة تقييم الركائز السبع ومعاييرها الثلاثة والثلاثين وأدلتها.</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FR-02-01: </w:t>
      </w:r>
      <w:r>
        <w:rPr>
          <w:rFonts w:ascii="Cairo" w:cs="Cairo" w:eastAsia="Cairo" w:hAnsi="Cairo"/>
          <w:b w:val="false"/>
          <w:bCs w:val="false"/>
          <w:color w:val="111815"/>
          <w:sz w:val="22"/>
          <w:szCs w:val="22"/>
          <w:rtl/>
        </w:rPr>
        <w:t xml:space="preserve">تسجيل درجات التقييم الذاتي لكل معيار مع الاحتفاظ بنتائج الدورات السابقة للمقارنة.</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FR-02-02: </w:t>
      </w:r>
      <w:r>
        <w:rPr>
          <w:rFonts w:ascii="Cairo" w:cs="Cairo" w:eastAsia="Cairo" w:hAnsi="Cairo"/>
          <w:b w:val="false"/>
          <w:bCs w:val="false"/>
          <w:color w:val="111815"/>
          <w:sz w:val="22"/>
          <w:szCs w:val="22"/>
          <w:rtl/>
        </w:rPr>
        <w:t xml:space="preserve">وضع مستقل لمحاكاة التقييم الخارجي بدرجات منفصلة لا تختلط بالتقييم الذاتي.</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FR-02-03: </w:t>
      </w:r>
      <w:r>
        <w:rPr>
          <w:rFonts w:ascii="Cairo" w:cs="Cairo" w:eastAsia="Cairo" w:hAnsi="Cairo"/>
          <w:b w:val="false"/>
          <w:bCs w:val="false"/>
          <w:color w:val="111815"/>
          <w:sz w:val="22"/>
          <w:szCs w:val="22"/>
          <w:rtl/>
        </w:rPr>
        <w:t xml:space="preserve">ربط كل معيار بوثائقه الداعمة وحالتها (متوفر، قيد الإعداد، غير متوفر) ونسبة اكتمالها.</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FR-02-04: </w:t>
      </w:r>
      <w:r>
        <w:rPr>
          <w:rFonts w:ascii="Cairo" w:cs="Cairo" w:eastAsia="Cairo" w:hAnsi="Cairo"/>
          <w:b w:val="false"/>
          <w:bCs w:val="false"/>
          <w:color w:val="111815"/>
          <w:sz w:val="22"/>
          <w:szCs w:val="22"/>
          <w:rtl/>
        </w:rPr>
        <w:t xml:space="preserve">إدارة إجراءات المعالجة لكل معيار دون المستهدف، بمالك وتاريخ استحقاق وحالة.</w:t>
      </w:r>
    </w:p>
    <w:p>
      <w:pPr>
        <w:pStyle w:val="ListParagraph"/>
        <w:keepNext w:val="false"/>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FR-02-05: </w:t>
      </w:r>
      <w:r>
        <w:rPr>
          <w:rFonts w:ascii="Cairo" w:cs="Cairo" w:eastAsia="Cairo" w:hAnsi="Cairo"/>
          <w:b w:val="false"/>
          <w:bCs w:val="false"/>
          <w:color w:val="111815"/>
          <w:sz w:val="22"/>
          <w:szCs w:val="22"/>
          <w:rtl/>
        </w:rPr>
        <w:t xml:space="preserve">احتساب درجات الركائز والدرجة الشاملة آلياً وفق منهجية البرنامج.</w:t>
      </w:r>
    </w:p>
    <w:p>
      <w:pPr>
        <w:pStyle w:val="Heading2"/>
        <w:keepNext/>
        <w:keepLines/>
        <w:bidi/>
        <w:spacing w:after="130" w:before="240"/>
      </w:pPr>
      <w:r>
        <w:rPr>
          <w:rFonts w:ascii="IBM Plex Sans Arabic" w:cs="IBM Plex Sans Arabic" w:eastAsia="IBM Plex Sans Arabic" w:hAnsi="IBM Plex Sans Arabic"/>
          <w:b/>
          <w:bCs/>
          <w:color w:val="098A4E"/>
          <w:sz w:val="25"/>
          <w:szCs w:val="25"/>
          <w:rtl/>
        </w:rPr>
        <w:t xml:space="preserve">7.3 إدارة دورة حياة المبادرات</w:t>
      </w:r>
    </w:p>
    <w:p>
      <w:pPr>
        <w:keepNext/>
        <w:keepLines/>
        <w:bidi/>
        <w:spacing w:after="140" w:line="330"/>
        <w:jc w:val="both"/>
      </w:pPr>
      <w:r>
        <w:rPr>
          <w:rFonts w:ascii="Cairo" w:cs="Cairo" w:eastAsia="Cairo" w:hAnsi="Cairo"/>
          <w:b w:val="false"/>
          <w:bCs w:val="false"/>
          <w:color w:val="111815"/>
          <w:sz w:val="22"/>
          <w:szCs w:val="22"/>
          <w:rtl/>
        </w:rPr>
        <w:t xml:space="preserve">تتبع مبادرات كفاءة الإنفاق عبر ست مراحل: بطاقة الفرصة، الدراسة، الاعتماد، التنفيذ، قياس الأثر، الإقفال.</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FR-03-01: </w:t>
      </w:r>
      <w:r>
        <w:rPr>
          <w:rFonts w:ascii="Cairo" w:cs="Cairo" w:eastAsia="Cairo" w:hAnsi="Cairo"/>
          <w:b w:val="false"/>
          <w:bCs w:val="false"/>
          <w:color w:val="111815"/>
          <w:sz w:val="22"/>
          <w:szCs w:val="22"/>
          <w:rtl/>
        </w:rPr>
        <w:t xml:space="preserve">سجل مبادرات بعرضين: لوحة مراحل (كانبان) وجدول قابل للفرز والتصفية والبحث.</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FR-03-02: </w:t>
      </w:r>
      <w:r>
        <w:rPr>
          <w:rFonts w:ascii="Cairo" w:cs="Cairo" w:eastAsia="Cairo" w:hAnsi="Cairo"/>
          <w:b w:val="false"/>
          <w:bCs w:val="false"/>
          <w:color w:val="111815"/>
          <w:sz w:val="22"/>
          <w:szCs w:val="22"/>
          <w:rtl/>
        </w:rPr>
        <w:t xml:space="preserve">بطاقة مبادرة شاملة: النوع، البرنامج، مصدر الهدر، آلية المعالجة، خط الأساس، الأثر المقدر والمعتمد والمحقق.</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FR-03-03: </w:t>
      </w:r>
      <w:r>
        <w:rPr>
          <w:rFonts w:ascii="Cairo" w:cs="Cairo" w:eastAsia="Cairo" w:hAnsi="Cairo"/>
          <w:b w:val="false"/>
          <w:bCs w:val="false"/>
          <w:color w:val="111815"/>
          <w:sz w:val="22"/>
          <w:szCs w:val="22"/>
          <w:rtl/>
        </w:rPr>
        <w:t xml:space="preserve">الانتقال بين المراحل عبر بوابات لا تسمح بتجاوز الضوابط (ومنها ضابط التحقق المالي قبل الاعتماد).</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FR-03-04: </w:t>
      </w:r>
      <w:r>
        <w:rPr>
          <w:rFonts w:ascii="Cairo" w:cs="Cairo" w:eastAsia="Cairo" w:hAnsi="Cairo"/>
          <w:b w:val="false"/>
          <w:bCs w:val="false"/>
          <w:color w:val="111815"/>
          <w:sz w:val="22"/>
          <w:szCs w:val="22"/>
          <w:rtl/>
        </w:rPr>
        <w:t xml:space="preserve">رفع حالات التعثر أو التأخر مع مسار معالجة وقرار لجنة.</w:t>
      </w:r>
    </w:p>
    <w:p>
      <w:pPr>
        <w:pStyle w:val="ListParagraph"/>
        <w:keepNext w:val="false"/>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FR-03-05: </w:t>
      </w:r>
      <w:r>
        <w:rPr>
          <w:rFonts w:ascii="Cairo" w:cs="Cairo" w:eastAsia="Cairo" w:hAnsi="Cairo"/>
          <w:b w:val="false"/>
          <w:bCs w:val="false"/>
          <w:color w:val="111815"/>
          <w:sz w:val="22"/>
          <w:szCs w:val="22"/>
          <w:rtl/>
        </w:rPr>
        <w:t xml:space="preserve">قاعدة مرجعية لممارسات الجهات الحكومية المطبقة يستأنس بها في بناء المبادرات.</w:t>
      </w:r>
    </w:p>
    <w:p>
      <w:pPr>
        <w:pStyle w:val="Heading2"/>
        <w:keepNext/>
        <w:keepLines/>
        <w:bidi/>
        <w:spacing w:after="130" w:before="240"/>
      </w:pPr>
      <w:r>
        <w:rPr>
          <w:rFonts w:ascii="IBM Plex Sans Arabic" w:cs="IBM Plex Sans Arabic" w:eastAsia="IBM Plex Sans Arabic" w:hAnsi="IBM Plex Sans Arabic"/>
          <w:b/>
          <w:bCs/>
          <w:color w:val="098A4E"/>
          <w:sz w:val="25"/>
          <w:szCs w:val="25"/>
          <w:rtl/>
        </w:rPr>
        <w:t xml:space="preserve">7.4 قياس الأثر المالي</w:t>
      </w:r>
    </w:p>
    <w:p>
      <w:pPr>
        <w:keepNext/>
        <w:keepLines/>
        <w:bidi/>
        <w:spacing w:after="140" w:line="330"/>
        <w:jc w:val="both"/>
      </w:pPr>
      <w:r>
        <w:rPr>
          <w:rFonts w:ascii="Cairo" w:cs="Cairo" w:eastAsia="Cairo" w:hAnsi="Cairo"/>
          <w:b w:val="false"/>
          <w:bCs w:val="false"/>
          <w:color w:val="111815"/>
          <w:sz w:val="22"/>
          <w:szCs w:val="22"/>
          <w:rtl/>
        </w:rPr>
        <w:t xml:space="preserve">سجل الوفورات المعتمد بأنواعه الثلاثة: وفر مباشر، تجنب تكلفة، تعظيم إيراد.</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FR-04-01: </w:t>
      </w:r>
      <w:r>
        <w:rPr>
          <w:rFonts w:ascii="Cairo" w:cs="Cairo" w:eastAsia="Cairo" w:hAnsi="Cairo"/>
          <w:b w:val="false"/>
          <w:bCs w:val="false"/>
          <w:color w:val="111815"/>
          <w:sz w:val="22"/>
          <w:szCs w:val="22"/>
          <w:rtl/>
        </w:rPr>
        <w:t xml:space="preserve">تسجيل الأثر لكل مبادرة عبر مراحله: محدد، قيد الدراسة، معتمد من الشؤون المالية، محقق، موثق بالإقفال.</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FR-04-02: </w:t>
      </w:r>
      <w:r>
        <w:rPr>
          <w:rFonts w:ascii="Cairo" w:cs="Cairo" w:eastAsia="Cairo" w:hAnsi="Cairo"/>
          <w:b w:val="false"/>
          <w:bCs w:val="false"/>
          <w:color w:val="111815"/>
          <w:sz w:val="22"/>
          <w:szCs w:val="22"/>
          <w:rtl/>
        </w:rPr>
        <w:t xml:space="preserve">مسار تحقق مالي إلزامي يمنع احتساب أي أثر في التقارير قبل اعتماده مالياً.</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FR-04-03: </w:t>
      </w:r>
      <w:r>
        <w:rPr>
          <w:rFonts w:ascii="Cairo" w:cs="Cairo" w:eastAsia="Cairo" w:hAnsi="Cairo"/>
          <w:b w:val="false"/>
          <w:bCs w:val="false"/>
          <w:color w:val="111815"/>
          <w:sz w:val="22"/>
          <w:szCs w:val="22"/>
          <w:rtl/>
        </w:rPr>
        <w:t xml:space="preserve">تتبع شهري للأثر المحقق مقابل المخطط على مستوى السنة والبرامج والفئات.</w:t>
      </w:r>
    </w:p>
    <w:p>
      <w:pPr>
        <w:pStyle w:val="ListParagraph"/>
        <w:keepNext w:val="false"/>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FR-04-04: </w:t>
      </w:r>
      <w:r>
        <w:rPr>
          <w:rFonts w:ascii="Cairo" w:cs="Cairo" w:eastAsia="Cairo" w:hAnsi="Cairo"/>
          <w:b w:val="false"/>
          <w:bCs w:val="false"/>
          <w:color w:val="111815"/>
          <w:sz w:val="22"/>
          <w:szCs w:val="22"/>
          <w:rtl/>
        </w:rPr>
        <w:t xml:space="preserve">توثيق خط الأساس وطريقة الاحتساب لكل أثر بما يصمد أمام التدقيق المستقل.</w:t>
      </w:r>
    </w:p>
    <w:p>
      <w:pPr>
        <w:pStyle w:val="Heading2"/>
        <w:keepNext/>
        <w:keepLines/>
        <w:bidi/>
        <w:spacing w:after="130" w:before="240"/>
      </w:pPr>
      <w:r>
        <w:rPr>
          <w:rFonts w:ascii="IBM Plex Sans Arabic" w:cs="IBM Plex Sans Arabic" w:eastAsia="IBM Plex Sans Arabic" w:hAnsi="IBM Plex Sans Arabic"/>
          <w:b/>
          <w:bCs/>
          <w:color w:val="098A4E"/>
          <w:sz w:val="25"/>
          <w:szCs w:val="25"/>
          <w:rtl/>
        </w:rPr>
        <w:t xml:space="preserve">7.5 إدارة طلبات التمويل (لائحة التعقب)</w:t>
      </w:r>
    </w:p>
    <w:p>
      <w:pPr>
        <w:keepNext/>
        <w:keepLines/>
        <w:bidi/>
        <w:spacing w:after="140" w:line="330"/>
        <w:jc w:val="both"/>
      </w:pPr>
      <w:r>
        <w:rPr>
          <w:rFonts w:ascii="Cairo" w:cs="Cairo" w:eastAsia="Cairo" w:hAnsi="Cairo"/>
          <w:b w:val="false"/>
          <w:bCs w:val="false"/>
          <w:color w:val="111815"/>
          <w:sz w:val="22"/>
          <w:szCs w:val="22"/>
          <w:rtl/>
        </w:rPr>
        <w:t xml:space="preserve">أتمتة لائحة تعقب طلبات التمويل وسلسلة المراجعة الرباعية وصولاً إلى الرفع لوزارة المالية.</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FR-05-01: </w:t>
      </w:r>
      <w:r>
        <w:rPr>
          <w:rFonts w:ascii="Cairo" w:cs="Cairo" w:eastAsia="Cairo" w:hAnsi="Cairo"/>
          <w:b w:val="false"/>
          <w:bCs w:val="false"/>
          <w:color w:val="111815"/>
          <w:sz w:val="22"/>
          <w:szCs w:val="22"/>
          <w:rtl/>
        </w:rPr>
        <w:t xml:space="preserve">تسجيل الطلبات بأنواعها (رأسمالي، تشغيلي) مع القيمة والبرنامج ونسبة اكتمال الدراسات.</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FR-05-02: </w:t>
      </w:r>
      <w:r>
        <w:rPr>
          <w:rFonts w:ascii="Cairo" w:cs="Cairo" w:eastAsia="Cairo" w:hAnsi="Cairo"/>
          <w:b w:val="false"/>
          <w:bCs w:val="false"/>
          <w:color w:val="111815"/>
          <w:sz w:val="22"/>
          <w:szCs w:val="22"/>
          <w:rtl/>
        </w:rPr>
        <w:t xml:space="preserve">سلسلة مراجعة رباعية: المقيّم ثم قائد الفريق ثم الشؤون المالية ثم اعتماد الرئيس التنفيذي، مع مرحلة «مرفوع لوزارة المالية».</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FR-05-03: </w:t>
      </w:r>
      <w:r>
        <w:rPr>
          <w:rFonts w:ascii="Cairo" w:cs="Cairo" w:eastAsia="Cairo" w:hAnsi="Cairo"/>
          <w:b w:val="false"/>
          <w:bCs w:val="false"/>
          <w:color w:val="111815"/>
          <w:sz w:val="22"/>
          <w:szCs w:val="22"/>
          <w:rtl/>
        </w:rPr>
        <w:t xml:space="preserve">ضابط اكتمال إلزامي: لا يدخل الطلب سلسلة المراجعة إلا باكتمال المتطلبات الثمانية (الدراسات الخمس، دراسة السعة والطلب، وثيقتا النطاق والقيمة).</w:t>
      </w:r>
    </w:p>
    <w:p>
      <w:pPr>
        <w:pStyle w:val="ListParagraph"/>
        <w:keepNext w:val="false"/>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FR-05-04: </w:t>
      </w:r>
      <w:r>
        <w:rPr>
          <w:rFonts w:ascii="Cairo" w:cs="Cairo" w:eastAsia="Cairo" w:hAnsi="Cairo"/>
          <w:b w:val="false"/>
          <w:bCs w:val="false"/>
          <w:color w:val="111815"/>
          <w:sz w:val="22"/>
          <w:szCs w:val="22"/>
          <w:rtl/>
        </w:rPr>
        <w:t xml:space="preserve">مسار إعادة للاستكمال مع توثيق الملاحظات ومنع إعادة الرفع قبل معالجتها.</w:t>
      </w:r>
    </w:p>
    <w:p>
      <w:pPr>
        <w:pStyle w:val="Heading2"/>
        <w:keepNext/>
        <w:keepLines/>
        <w:bidi/>
        <w:spacing w:after="130" w:before="240"/>
      </w:pPr>
      <w:r>
        <w:rPr>
          <w:rFonts w:ascii="IBM Plex Sans Arabic" w:cs="IBM Plex Sans Arabic" w:eastAsia="IBM Plex Sans Arabic" w:hAnsi="IBM Plex Sans Arabic"/>
          <w:b/>
          <w:bCs/>
          <w:color w:val="098A4E"/>
          <w:sz w:val="25"/>
          <w:szCs w:val="25"/>
          <w:rtl/>
        </w:rPr>
        <w:t xml:space="preserve">7.6 إدارة الدراسات</w:t>
      </w:r>
    </w:p>
    <w:p>
      <w:pPr>
        <w:keepNext/>
        <w:keepLines/>
        <w:bidi/>
        <w:spacing w:after="140" w:line="330"/>
        <w:jc w:val="both"/>
      </w:pPr>
      <w:r>
        <w:rPr>
          <w:rFonts w:ascii="Cairo" w:cs="Cairo" w:eastAsia="Cairo" w:hAnsi="Cairo"/>
          <w:b w:val="false"/>
          <w:bCs w:val="false"/>
          <w:color w:val="111815"/>
          <w:sz w:val="22"/>
          <w:szCs w:val="22"/>
          <w:rtl/>
        </w:rPr>
        <w:t xml:space="preserve">أتمتة إعداد وتتبع دراسات السعة والطلب والدراسات الخمس ودراسات الهندسة القيمية.</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FR-06-01: </w:t>
      </w:r>
      <w:r>
        <w:rPr>
          <w:rFonts w:ascii="Cairo" w:cs="Cairo" w:eastAsia="Cairo" w:hAnsi="Cairo"/>
          <w:b w:val="false"/>
          <w:bCs w:val="false"/>
          <w:color w:val="111815"/>
          <w:sz w:val="22"/>
          <w:szCs w:val="22"/>
          <w:rtl/>
        </w:rPr>
        <w:t xml:space="preserve">سجل دراسات بنسب اكتمال مكوناتها (منهجية الخطوات السبع، النموذج الخماسي للجدوى، منهجية SAVE).</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FR-06-02: </w:t>
      </w:r>
      <w:r>
        <w:rPr>
          <w:rFonts w:ascii="Cairo" w:cs="Cairo" w:eastAsia="Cairo" w:hAnsi="Cairo"/>
          <w:b w:val="false"/>
          <w:bCs w:val="false"/>
          <w:color w:val="111815"/>
          <w:sz w:val="22"/>
          <w:szCs w:val="22"/>
          <w:rtl/>
        </w:rPr>
        <w:t xml:space="preserve">مكتبة منهجيات ونماذج معتمدة قابلة للتنزيل والتحديث.</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FR-06-03: </w:t>
      </w:r>
      <w:r>
        <w:rPr>
          <w:rFonts w:ascii="Cairo" w:cs="Cairo" w:eastAsia="Cairo" w:hAnsi="Cairo"/>
          <w:b w:val="false"/>
          <w:bCs w:val="false"/>
          <w:color w:val="111815"/>
          <w:sz w:val="22"/>
          <w:szCs w:val="22"/>
          <w:rtl/>
        </w:rPr>
        <w:t xml:space="preserve">ربط الدراسات بطلبات التمويل والمبادرات المرتبطة بها.</w:t>
      </w:r>
    </w:p>
    <w:p>
      <w:pPr>
        <w:pStyle w:val="ListParagraph"/>
        <w:keepNext w:val="false"/>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FR-06-04: </w:t>
      </w:r>
      <w:r>
        <w:rPr>
          <w:rFonts w:ascii="Cairo" w:cs="Cairo" w:eastAsia="Cairo" w:hAnsi="Cairo"/>
          <w:b w:val="false"/>
          <w:bCs w:val="false"/>
          <w:color w:val="111815"/>
          <w:sz w:val="22"/>
          <w:szCs w:val="22"/>
          <w:rtl/>
        </w:rPr>
        <w:t xml:space="preserve">مقارنات معيارية (Benchmarks) تدعم افتراضات الدراسات.</w:t>
      </w:r>
    </w:p>
    <w:p>
      <w:pPr>
        <w:pStyle w:val="Heading2"/>
        <w:keepNext/>
        <w:keepLines/>
        <w:bidi/>
        <w:spacing w:after="130" w:before="240"/>
      </w:pPr>
      <w:r>
        <w:rPr>
          <w:rFonts w:ascii="IBM Plex Sans Arabic" w:cs="IBM Plex Sans Arabic" w:eastAsia="IBM Plex Sans Arabic" w:hAnsi="IBM Plex Sans Arabic"/>
          <w:b/>
          <w:bCs/>
          <w:color w:val="098A4E"/>
          <w:sz w:val="25"/>
          <w:szCs w:val="25"/>
          <w:rtl/>
        </w:rPr>
        <w:t xml:space="preserve">7.7 دليل الخدمات وتكلفتها</w:t>
      </w:r>
    </w:p>
    <w:p>
      <w:pPr>
        <w:keepNext/>
        <w:keepLines/>
        <w:bidi/>
        <w:spacing w:after="140" w:line="330"/>
        <w:jc w:val="both"/>
      </w:pPr>
      <w:r>
        <w:rPr>
          <w:rFonts w:ascii="Cairo" w:cs="Cairo" w:eastAsia="Cairo" w:hAnsi="Cairo"/>
          <w:b w:val="false"/>
          <w:bCs w:val="false"/>
          <w:color w:val="111815"/>
          <w:sz w:val="22"/>
          <w:szCs w:val="22"/>
          <w:rtl/>
        </w:rPr>
        <w:t xml:space="preserve">دليل خدمات الهيئة مسعّراً بتكلفة المعاملة، دعماً لمتطلبات المسار الأول.</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FR-07-01: </w:t>
      </w:r>
      <w:r>
        <w:rPr>
          <w:rFonts w:ascii="Cairo" w:cs="Cairo" w:eastAsia="Cairo" w:hAnsi="Cairo"/>
          <w:b w:val="false"/>
          <w:bCs w:val="false"/>
          <w:color w:val="111815"/>
          <w:sz w:val="22"/>
          <w:szCs w:val="22"/>
          <w:rtl/>
        </w:rPr>
        <w:t xml:space="preserve">سجل خدمات يشمل القطاع والقناة وتكلفة المعاملة والحجم السنوي والتكلفة الإجمالية.</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FR-07-02: </w:t>
      </w:r>
      <w:r>
        <w:rPr>
          <w:rFonts w:ascii="Cairo" w:cs="Cairo" w:eastAsia="Cairo" w:hAnsi="Cairo"/>
          <w:b w:val="false"/>
          <w:bCs w:val="false"/>
          <w:color w:val="111815"/>
          <w:sz w:val="22"/>
          <w:szCs w:val="22"/>
          <w:rtl/>
        </w:rPr>
        <w:t xml:space="preserve">تصنيف جودة الخدمات ونقاط المراجعة والنسبة الرقمية لكل خدمة.</w:t>
      </w:r>
    </w:p>
    <w:p>
      <w:pPr>
        <w:pStyle w:val="ListParagraph"/>
        <w:keepNext w:val="false"/>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FR-07-03: </w:t>
      </w:r>
      <w:r>
        <w:rPr>
          <w:rFonts w:ascii="Cairo" w:cs="Cairo" w:eastAsia="Cairo" w:hAnsi="Cairo"/>
          <w:b w:val="false"/>
          <w:bCs w:val="false"/>
          <w:color w:val="111815"/>
          <w:sz w:val="22"/>
          <w:szCs w:val="22"/>
          <w:rtl/>
        </w:rPr>
        <w:t xml:space="preserve">تحليل بصري للتكلفة مقابل الجودة يحدد الخدمات المرشحة للتحسين.</w:t>
      </w:r>
    </w:p>
    <w:p>
      <w:pPr>
        <w:pStyle w:val="Heading2"/>
        <w:keepNext/>
        <w:keepLines/>
        <w:bidi/>
        <w:spacing w:after="130" w:before="240"/>
      </w:pPr>
      <w:r>
        <w:rPr>
          <w:rFonts w:ascii="IBM Plex Sans Arabic" w:cs="IBM Plex Sans Arabic" w:eastAsia="IBM Plex Sans Arabic" w:hAnsi="IBM Plex Sans Arabic"/>
          <w:b/>
          <w:bCs/>
          <w:color w:val="098A4E"/>
          <w:sz w:val="25"/>
          <w:szCs w:val="25"/>
          <w:rtl/>
        </w:rPr>
        <w:t xml:space="preserve">7.8 الميزانية ومراجعات الإنفاق</w:t>
      </w:r>
    </w:p>
    <w:p>
      <w:pPr>
        <w:keepNext/>
        <w:keepLines/>
        <w:bidi/>
        <w:spacing w:after="140" w:line="330"/>
        <w:jc w:val="both"/>
      </w:pPr>
      <w:r>
        <w:rPr>
          <w:rFonts w:ascii="Cairo" w:cs="Cairo" w:eastAsia="Cairo" w:hAnsi="Cairo"/>
          <w:b w:val="false"/>
          <w:bCs w:val="false"/>
          <w:color w:val="111815"/>
          <w:sz w:val="22"/>
          <w:szCs w:val="22"/>
          <w:rtl/>
        </w:rPr>
        <w:t xml:space="preserve">ربط أبواب الميزانية بعواملها ومسبباتها وبسجل مراجعات الإنفاق وفرصها.</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FR-08-01: </w:t>
      </w:r>
      <w:r>
        <w:rPr>
          <w:rFonts w:ascii="Cairo" w:cs="Cairo" w:eastAsia="Cairo" w:hAnsi="Cairo"/>
          <w:b w:val="false"/>
          <w:bCs w:val="false"/>
          <w:color w:val="111815"/>
          <w:sz w:val="22"/>
          <w:szCs w:val="22"/>
          <w:rtl/>
        </w:rPr>
        <w:t xml:space="preserve">عرض أبواب الميزانية الستة: المعتمد والمنصرف وفرص الكفاءة المحددة لكل باب.</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FR-08-02: </w:t>
      </w:r>
      <w:r>
        <w:rPr>
          <w:rFonts w:ascii="Cairo" w:cs="Cairo" w:eastAsia="Cairo" w:hAnsi="Cairo"/>
          <w:b w:val="false"/>
          <w:bCs w:val="false"/>
          <w:color w:val="111815"/>
          <w:sz w:val="22"/>
          <w:szCs w:val="22"/>
          <w:rtl/>
        </w:rPr>
        <w:t xml:space="preserve">توثيق عوامل التكلفة ومسببات الطلب لكل باب وفق دراسة بنود الميزانية.</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FR-08-03: </w:t>
      </w:r>
      <w:r>
        <w:rPr>
          <w:rFonts w:ascii="Cairo" w:cs="Cairo" w:eastAsia="Cairo" w:hAnsi="Cairo"/>
          <w:b w:val="false"/>
          <w:bCs w:val="false"/>
          <w:color w:val="111815"/>
          <w:sz w:val="22"/>
          <w:szCs w:val="22"/>
          <w:rtl/>
        </w:rPr>
        <w:t xml:space="preserve">سجل مراجعات الإنفاق المنفذة بالتكامل مع إكسبرو ونتائجها من فرص ودروس مستفادة.</w:t>
      </w:r>
    </w:p>
    <w:p>
      <w:pPr>
        <w:pStyle w:val="ListParagraph"/>
        <w:keepNext w:val="false"/>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FR-08-04: </w:t>
      </w:r>
      <w:r>
        <w:rPr>
          <w:rFonts w:ascii="Cairo" w:cs="Cairo" w:eastAsia="Cairo" w:hAnsi="Cairo"/>
          <w:b w:val="false"/>
          <w:bCs w:val="false"/>
          <w:color w:val="111815"/>
          <w:sz w:val="22"/>
          <w:szCs w:val="22"/>
          <w:rtl/>
        </w:rPr>
        <w:t xml:space="preserve">تغذية فرص المراجعات آلياً في محفظة المبادرات.</w:t>
      </w:r>
    </w:p>
    <w:p>
      <w:pPr>
        <w:pStyle w:val="Heading2"/>
        <w:keepNext/>
        <w:keepLines/>
        <w:bidi/>
        <w:spacing w:after="130" w:before="240"/>
      </w:pPr>
      <w:r>
        <w:rPr>
          <w:rFonts w:ascii="IBM Plex Sans Arabic" w:cs="IBM Plex Sans Arabic" w:eastAsia="IBM Plex Sans Arabic" w:hAnsi="IBM Plex Sans Arabic"/>
          <w:b/>
          <w:bCs/>
          <w:color w:val="098A4E"/>
          <w:sz w:val="25"/>
          <w:szCs w:val="25"/>
          <w:rtl/>
        </w:rPr>
        <w:t xml:space="preserve">7.9 مؤشرات الأداء</w:t>
      </w:r>
    </w:p>
    <w:p>
      <w:pPr>
        <w:keepNext/>
        <w:keepLines/>
        <w:bidi/>
        <w:spacing w:after="140" w:line="330"/>
        <w:jc w:val="both"/>
      </w:pPr>
      <w:r>
        <w:rPr>
          <w:rFonts w:ascii="Cairo" w:cs="Cairo" w:eastAsia="Cairo" w:hAnsi="Cairo"/>
          <w:b w:val="false"/>
          <w:bCs w:val="false"/>
          <w:color w:val="111815"/>
          <w:sz w:val="22"/>
          <w:szCs w:val="22"/>
          <w:rtl/>
        </w:rPr>
        <w:t xml:space="preserve">إدارة مؤشرات النموذج التشغيلي في مجموعاته الأربع: الأثر المالي، الالتزام بالسياسات، تحسن الممارسات، الالتزام بالمبادرات.</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FR-09-01: </w:t>
      </w:r>
      <w:r>
        <w:rPr>
          <w:rFonts w:ascii="Cairo" w:cs="Cairo" w:eastAsia="Cairo" w:hAnsi="Cairo"/>
          <w:b w:val="false"/>
          <w:bCs w:val="false"/>
          <w:color w:val="111815"/>
          <w:sz w:val="22"/>
          <w:szCs w:val="22"/>
          <w:rtl/>
        </w:rPr>
        <w:t xml:space="preserve">سجل مؤشرات بمعادلة احتساب ومصدر بيانات ومالك ودورية قياس لكل مؤشر.</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FR-09-02: </w:t>
      </w:r>
      <w:r>
        <w:rPr>
          <w:rFonts w:ascii="Cairo" w:cs="Cairo" w:eastAsia="Cairo" w:hAnsi="Cairo"/>
          <w:b w:val="false"/>
          <w:bCs w:val="false"/>
          <w:color w:val="111815"/>
          <w:sz w:val="22"/>
          <w:szCs w:val="22"/>
          <w:rtl/>
        </w:rPr>
        <w:t xml:space="preserve">تتبع القيم الفعلية مقابل المستهدفات مع اتجاهات زمنية وحالات لونية (ضمن المستهدف، قريب، حرج).</w:t>
      </w:r>
    </w:p>
    <w:p>
      <w:pPr>
        <w:pStyle w:val="ListParagraph"/>
        <w:keepNext w:val="false"/>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FR-09-03: </w:t>
      </w:r>
      <w:r>
        <w:rPr>
          <w:rFonts w:ascii="Cairo" w:cs="Cairo" w:eastAsia="Cairo" w:hAnsi="Cairo"/>
          <w:b w:val="false"/>
          <w:bCs w:val="false"/>
          <w:color w:val="111815"/>
          <w:sz w:val="22"/>
          <w:szCs w:val="22"/>
          <w:rtl/>
        </w:rPr>
        <w:t xml:space="preserve">إدخال دوري للقيم مع اعتماد مالك المؤشر.</w:t>
      </w:r>
    </w:p>
    <w:p>
      <w:pPr>
        <w:pStyle w:val="Heading2"/>
        <w:keepNext/>
        <w:keepLines/>
        <w:bidi/>
        <w:spacing w:after="130" w:before="240"/>
      </w:pPr>
      <w:r>
        <w:rPr>
          <w:rFonts w:ascii="IBM Plex Sans Arabic" w:cs="IBM Plex Sans Arabic" w:eastAsia="IBM Plex Sans Arabic" w:hAnsi="IBM Plex Sans Arabic"/>
          <w:b/>
          <w:bCs/>
          <w:color w:val="098A4E"/>
          <w:sz w:val="25"/>
          <w:szCs w:val="25"/>
          <w:rtl/>
        </w:rPr>
        <w:t xml:space="preserve">7.10 الحوكمة</w:t>
      </w:r>
    </w:p>
    <w:p>
      <w:pPr>
        <w:keepNext/>
        <w:keepLines/>
        <w:bidi/>
        <w:spacing w:after="140" w:line="330"/>
        <w:jc w:val="both"/>
      </w:pPr>
      <w:r>
        <w:rPr>
          <w:rFonts w:ascii="Cairo" w:cs="Cairo" w:eastAsia="Cairo" w:hAnsi="Cairo"/>
          <w:b w:val="false"/>
          <w:bCs w:val="false"/>
          <w:color w:val="111815"/>
          <w:sz w:val="22"/>
          <w:szCs w:val="22"/>
          <w:rtl/>
        </w:rPr>
        <w:t xml:space="preserve">التنظيم الإداري واللجان والسياسات والتصعيد وفق النموذج التشغيلي.</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FR-10-01: </w:t>
      </w:r>
      <w:r>
        <w:rPr>
          <w:rFonts w:ascii="Cairo" w:cs="Cairo" w:eastAsia="Cairo" w:hAnsi="Cairo"/>
          <w:b w:val="false"/>
          <w:bCs w:val="false"/>
          <w:color w:val="111815"/>
          <w:sz w:val="22"/>
          <w:szCs w:val="22"/>
          <w:rtl/>
        </w:rPr>
        <w:t xml:space="preserve">توثيق الهيكل التشغيلي: الرئيس التنفيذي، اللجان، قائد الفريق، وحدات الإسناد، ملاك الركائز.</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FR-10-02: </w:t>
      </w:r>
      <w:r>
        <w:rPr>
          <w:rFonts w:ascii="Cairo" w:cs="Cairo" w:eastAsia="Cairo" w:hAnsi="Cairo"/>
          <w:b w:val="false"/>
          <w:bCs w:val="false"/>
          <w:color w:val="111815"/>
          <w:sz w:val="22"/>
          <w:szCs w:val="22"/>
          <w:rtl/>
        </w:rPr>
        <w:t xml:space="preserve">سجل اجتماعات اللجان بقراراتها ومتابعة تنفيذها.</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FR-10-03: </w:t>
      </w:r>
      <w:r>
        <w:rPr>
          <w:rFonts w:ascii="Cairo" w:cs="Cairo" w:eastAsia="Cairo" w:hAnsi="Cairo"/>
          <w:b w:val="false"/>
          <w:bCs w:val="false"/>
          <w:color w:val="111815"/>
          <w:sz w:val="22"/>
          <w:szCs w:val="22"/>
          <w:rtl/>
        </w:rPr>
        <w:t xml:space="preserve">سجل السياسات والوثائق المنظمة بإصداراتها وحالة اعتمادها.</w:t>
      </w:r>
    </w:p>
    <w:p>
      <w:pPr>
        <w:pStyle w:val="ListParagraph"/>
        <w:keepNext w:val="false"/>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FR-10-04: </w:t>
      </w:r>
      <w:r>
        <w:rPr>
          <w:rFonts w:ascii="Cairo" w:cs="Cairo" w:eastAsia="Cairo" w:hAnsi="Cairo"/>
          <w:b w:val="false"/>
          <w:bCs w:val="false"/>
          <w:color w:val="111815"/>
          <w:sz w:val="22"/>
          <w:szCs w:val="22"/>
          <w:rtl/>
        </w:rPr>
        <w:t xml:space="preserve">سلم تصعيد ثلاثي المستويات موثق ومتتبع حتى الإغلاق.</w:t>
      </w:r>
    </w:p>
    <w:p>
      <w:pPr>
        <w:pStyle w:val="Heading2"/>
        <w:keepNext/>
        <w:keepLines/>
        <w:bidi/>
        <w:spacing w:after="130" w:before="240"/>
      </w:pPr>
      <w:r>
        <w:rPr>
          <w:rFonts w:ascii="IBM Plex Sans Arabic" w:cs="IBM Plex Sans Arabic" w:eastAsia="IBM Plex Sans Arabic" w:hAnsi="IBM Plex Sans Arabic"/>
          <w:b/>
          <w:bCs/>
          <w:color w:val="098A4E"/>
          <w:sz w:val="25"/>
          <w:szCs w:val="25"/>
          <w:rtl/>
        </w:rPr>
        <w:t xml:space="preserve">7.11 القدرات والثقافة</w:t>
      </w:r>
    </w:p>
    <w:p>
      <w:pPr>
        <w:keepNext/>
        <w:keepLines/>
        <w:bidi/>
        <w:spacing w:after="140" w:line="330"/>
        <w:jc w:val="both"/>
      </w:pPr>
      <w:r>
        <w:rPr>
          <w:rFonts w:ascii="Cairo" w:cs="Cairo" w:eastAsia="Cairo" w:hAnsi="Cairo"/>
          <w:b w:val="false"/>
          <w:bCs w:val="false"/>
          <w:color w:val="111815"/>
          <w:sz w:val="22"/>
          <w:szCs w:val="22"/>
          <w:rtl/>
        </w:rPr>
        <w:t xml:space="preserve">بناء القدرات وإدارة التغيير: التدريب والوعي والتبني والتعاقب والمعرفة والتحفيز.</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FR-11-01: </w:t>
      </w:r>
      <w:r>
        <w:rPr>
          <w:rFonts w:ascii="Cairo" w:cs="Cairo" w:eastAsia="Cairo" w:hAnsi="Cairo"/>
          <w:b w:val="false"/>
          <w:bCs w:val="false"/>
          <w:color w:val="111815"/>
          <w:sz w:val="22"/>
          <w:szCs w:val="22"/>
          <w:rtl/>
        </w:rPr>
        <w:t xml:space="preserve">سجل البرامج التدريبية وساعاتها والمشاركين فيها مقابل خطة القدرات.</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FR-11-02: </w:t>
      </w:r>
      <w:r>
        <w:rPr>
          <w:rFonts w:ascii="Cairo" w:cs="Cairo" w:eastAsia="Cairo" w:hAnsi="Cairo"/>
          <w:b w:val="false"/>
          <w:bCs w:val="false"/>
          <w:color w:val="111815"/>
          <w:sz w:val="22"/>
          <w:szCs w:val="22"/>
          <w:rtl/>
        </w:rPr>
        <w:t xml:space="preserve">قياس الوعي بكفاءة الإنفاق عبر دورة قياس وتحسين متكاملة.</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FR-11-03: </w:t>
      </w:r>
      <w:r>
        <w:rPr>
          <w:rFonts w:ascii="Cairo" w:cs="Cairo" w:eastAsia="Cairo" w:hAnsi="Cairo"/>
          <w:b w:val="false"/>
          <w:bCs w:val="false"/>
          <w:color w:val="111815"/>
          <w:sz w:val="22"/>
          <w:szCs w:val="22"/>
          <w:rtl/>
        </w:rPr>
        <w:t xml:space="preserve">تتبع مستويات التبني الخمسة ومصفوفة المهارات وخطة التعاقب للأدوار الحرجة.</w:t>
      </w:r>
    </w:p>
    <w:p>
      <w:pPr>
        <w:pStyle w:val="ListParagraph"/>
        <w:keepNext w:val="false"/>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FR-11-04: </w:t>
      </w:r>
      <w:r>
        <w:rPr>
          <w:rFonts w:ascii="Cairo" w:cs="Cairo" w:eastAsia="Cairo" w:hAnsi="Cairo"/>
          <w:b w:val="false"/>
          <w:bCs w:val="false"/>
          <w:color w:val="111815"/>
          <w:sz w:val="22"/>
          <w:szCs w:val="22"/>
          <w:rtl/>
        </w:rPr>
        <w:t xml:space="preserve">منظومة إدارة المعرفة ودورة الترشيح والتكريم لآلية التحفيز.</w:t>
      </w:r>
    </w:p>
    <w:p>
      <w:pPr>
        <w:pStyle w:val="Heading2"/>
        <w:keepNext/>
        <w:keepLines/>
        <w:bidi/>
        <w:spacing w:after="130" w:before="240"/>
      </w:pPr>
      <w:r>
        <w:rPr>
          <w:rFonts w:ascii="IBM Plex Sans Arabic" w:cs="IBM Plex Sans Arabic" w:eastAsia="IBM Plex Sans Arabic" w:hAnsi="IBM Plex Sans Arabic"/>
          <w:b/>
          <w:bCs/>
          <w:color w:val="098A4E"/>
          <w:sz w:val="25"/>
          <w:szCs w:val="25"/>
          <w:rtl/>
        </w:rPr>
        <w:t xml:space="preserve">7.12 التقارير</w:t>
      </w:r>
    </w:p>
    <w:p>
      <w:pPr>
        <w:keepNext/>
        <w:keepLines/>
        <w:bidi/>
        <w:spacing w:after="140" w:line="330"/>
        <w:jc w:val="both"/>
      </w:pPr>
      <w:r>
        <w:rPr>
          <w:rFonts w:ascii="Cairo" w:cs="Cairo" w:eastAsia="Cairo" w:hAnsi="Cairo"/>
          <w:b w:val="false"/>
          <w:bCs w:val="false"/>
          <w:color w:val="111815"/>
          <w:sz w:val="22"/>
          <w:szCs w:val="22"/>
          <w:rtl/>
        </w:rPr>
        <w:t xml:space="preserve">تقارير حية جاهزة للطباعة والرفع تُبنى من بيانات المنصة مباشرة دون إعداد يدوي.</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FR-12-01: </w:t>
      </w:r>
      <w:r>
        <w:rPr>
          <w:rFonts w:ascii="Cairo" w:cs="Cairo" w:eastAsia="Cairo" w:hAnsi="Cairo"/>
          <w:b w:val="false"/>
          <w:bCs w:val="false"/>
          <w:color w:val="111815"/>
          <w:sz w:val="22"/>
          <w:szCs w:val="22"/>
          <w:rtl/>
        </w:rPr>
        <w:t xml:space="preserve">أربعة قوالب معتمدة: التقرير الربع سنوي، التقرير السنوي، تقرير جاهزية الركائز، حزمة الرفع لإكسبرو.</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FR-12-02: </w:t>
      </w:r>
      <w:r>
        <w:rPr>
          <w:rFonts w:ascii="Cairo" w:cs="Cairo" w:eastAsia="Cairo" w:hAnsi="Cairo"/>
          <w:b w:val="false"/>
          <w:bCs w:val="false"/>
          <w:color w:val="111815"/>
          <w:sz w:val="22"/>
          <w:szCs w:val="22"/>
          <w:rtl/>
        </w:rPr>
        <w:t xml:space="preserve">مسار اعتماد للتقرير قبل رفعه (إعداد، مراجعة، اعتماد الرئيس التنفيذي).</w:t>
      </w:r>
    </w:p>
    <w:p>
      <w:pPr>
        <w:pStyle w:val="ListParagraph"/>
        <w:keepNext w:val="false"/>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FR-12-03: </w:t>
      </w:r>
      <w:r>
        <w:rPr>
          <w:rFonts w:ascii="Cairo" w:cs="Cairo" w:eastAsia="Cairo" w:hAnsi="Cairo"/>
          <w:b w:val="false"/>
          <w:bCs w:val="false"/>
          <w:color w:val="111815"/>
          <w:sz w:val="22"/>
          <w:szCs w:val="22"/>
          <w:rtl/>
        </w:rPr>
        <w:t xml:space="preserve">تصدير بصيغ قابلة للطباعة والأرشفة مع ترويسة الهيئة وتاريخ الإصدار.</w:t>
      </w:r>
    </w:p>
    <w:p>
      <w:pPr>
        <w:pStyle w:val="Heading1"/>
        <w:keepNext/>
        <w:keepLines/>
        <w:pageBreakBefore/>
        <w:bidi/>
        <w:spacing w:after="190" w:before="340"/>
      </w:pPr>
      <w:r>
        <w:rPr>
          <w:rFonts w:ascii="IBM Plex Sans Arabic" w:cs="IBM Plex Sans Arabic" w:eastAsia="IBM Plex Sans Arabic" w:hAnsi="IBM Plex Sans Arabic"/>
          <w:b/>
          <w:bCs/>
          <w:color w:val="0A3B27"/>
          <w:sz w:val="30"/>
          <w:szCs w:val="30"/>
          <w:rtl/>
        </w:rPr>
        <w:t xml:space="preserve">8. مسارات العمل</w:t>
      </w:r>
    </w:p>
    <w:p>
      <w:pPr>
        <w:keepNext w:val="false"/>
        <w:keepLines/>
        <w:bidi/>
        <w:spacing w:after="140" w:line="330"/>
        <w:jc w:val="both"/>
      </w:pPr>
      <w:r>
        <w:rPr>
          <w:rFonts w:ascii="Cairo" w:cs="Cairo" w:eastAsia="Cairo" w:hAnsi="Cairo"/>
          <w:b w:val="false"/>
          <w:bCs w:val="false"/>
          <w:color w:val="111815"/>
          <w:sz w:val="22"/>
          <w:szCs w:val="22"/>
          <w:rtl/>
        </w:rPr>
        <w:t xml:space="preserve">يلخص هذا القسم مسارات العمل العشرين في المنصة ببدايتها ومعتمدها النهائي ونقطة نهايتها. وتُفصَّل خطوات كل مسار وشاشاته في وثيقة المتطلبات الوظيفية التفصيلية.</w:t>
      </w:r>
    </w:p>
    <w:p>
      <w:pPr>
        <w:pStyle w:val="Heading2"/>
        <w:keepNext/>
        <w:keepLines/>
        <w:bidi/>
        <w:spacing w:after="130" w:before="240"/>
      </w:pPr>
      <w:r>
        <w:rPr>
          <w:rFonts w:ascii="IBM Plex Sans Arabic" w:cs="IBM Plex Sans Arabic" w:eastAsia="IBM Plex Sans Arabic" w:hAnsi="IBM Plex Sans Arabic"/>
          <w:b/>
          <w:bCs/>
          <w:color w:val="098A4E"/>
          <w:sz w:val="25"/>
          <w:szCs w:val="25"/>
          <w:rtl/>
        </w:rPr>
        <w:t xml:space="preserve">8.1 المسارات الرئيسية (متعددة الاعتمادات)</w:t>
      </w:r>
    </w:p>
    <w:tbl>
      <w:tblPr>
        <w:bidiVisual/>
        <w:tblW w:type="dxa" w:w="9020"/>
        <w:tblBorders>
          <w:top w:val="single" w:color="D8E0DB" w:sz="4"/>
          <w:left w:val="single" w:color="D8E0DB" w:sz="4"/>
          <w:bottom w:val="single" w:color="D8E0DB" w:sz="4"/>
          <w:right w:val="single" w:color="D8E0DB" w:sz="4"/>
          <w:insideH w:val="single" w:color="D8E0DB" w:sz="4"/>
          <w:insideV w:val="single" w:color="D8E0DB" w:sz="4"/>
        </w:tblBorders>
      </w:tblPr>
      <w:tblGrid>
        <w:gridCol w:w="560"/>
        <w:gridCol w:w="2620"/>
        <w:gridCol w:w="2620"/>
        <w:gridCol w:w="3220"/>
      </w:tblGrid>
      <w:tr>
        <w:trPr>
          <w:cantSplit/>
          <w:tblHeader/>
        </w:trPr>
        <w:tc>
          <w:tcPr>
            <w:tcW w:type="dxa" w:w="56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م</w:t>
            </w:r>
          </w:p>
        </w:tc>
        <w:tc>
          <w:tcPr>
            <w:tcW w:type="dxa" w:w="262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المسار</w:t>
            </w:r>
          </w:p>
        </w:tc>
        <w:tc>
          <w:tcPr>
            <w:tcW w:type="dxa" w:w="262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نقطة البداية</w:t>
            </w:r>
          </w:p>
        </w:tc>
        <w:tc>
          <w:tcPr>
            <w:tcW w:type="dxa" w:w="322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المعتمد النهائي ونقطة النهاية</w:t>
            </w:r>
          </w:p>
        </w:tc>
      </w:tr>
      <w:tr>
        <w:trPr>
          <w:cantSplit/>
          <w:tblHeader w:val="false"/>
        </w:trPr>
        <w:tc>
          <w:tcPr>
            <w:tcW w:type="dxa" w:w="56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1</w:t>
            </w:r>
          </w:p>
        </w:tc>
        <w:tc>
          <w:tcPr>
            <w:tcW w:type="dxa" w:w="26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مراجعة طلبات التمويل</w:t>
            </w:r>
          </w:p>
        </w:tc>
        <w:tc>
          <w:tcPr>
            <w:tcW w:type="dxa" w:w="26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تسجيل الطلب في لائحة التعقب</w:t>
            </w:r>
          </w:p>
        </w:tc>
        <w:tc>
          <w:tcPr>
            <w:tcW w:type="dxa" w:w="32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الرئيس التنفيذي — الرفع لوزارة المالية والأرشفة</w:t>
            </w:r>
          </w:p>
        </w:tc>
      </w:tr>
      <w:tr>
        <w:trPr>
          <w:cantSplit/>
          <w:tblHeader w:val="false"/>
        </w:trPr>
        <w:tc>
          <w:tcPr>
            <w:tcW w:type="dxa" w:w="56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2</w:t>
            </w:r>
          </w:p>
        </w:tc>
        <w:tc>
          <w:tcPr>
            <w:tcW w:type="dxa" w:w="26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دورة حياة المبادرة</w:t>
            </w:r>
          </w:p>
        </w:tc>
        <w:tc>
          <w:tcPr>
            <w:tcW w:type="dxa" w:w="26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بطاقة الفرصة</w:t>
            </w:r>
          </w:p>
        </w:tc>
        <w:tc>
          <w:tcPr>
            <w:tcW w:type="dxa" w:w="32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اللجنة التوجيهية — الإقفال بأثر موثق</w:t>
            </w:r>
          </w:p>
        </w:tc>
      </w:tr>
      <w:tr>
        <w:trPr>
          <w:cantSplit/>
          <w:tblHeader w:val="false"/>
        </w:trPr>
        <w:tc>
          <w:tcPr>
            <w:tcW w:type="dxa" w:w="56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3</w:t>
            </w:r>
          </w:p>
        </w:tc>
        <w:tc>
          <w:tcPr>
            <w:tcW w:type="dxa" w:w="26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التحقق المالي من الأثر</w:t>
            </w:r>
          </w:p>
        </w:tc>
        <w:tc>
          <w:tcPr>
            <w:tcW w:type="dxa" w:w="26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توثيق خط الأساس من مالك المبادرة</w:t>
            </w:r>
          </w:p>
        </w:tc>
        <w:tc>
          <w:tcPr>
            <w:tcW w:type="dxa" w:w="32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الشؤون المالية — أثر معتمد</w:t>
            </w:r>
          </w:p>
        </w:tc>
      </w:tr>
      <w:tr>
        <w:trPr>
          <w:cantSplit/>
          <w:tblHeader w:val="false"/>
        </w:trPr>
        <w:tc>
          <w:tcPr>
            <w:tcW w:type="dxa" w:w="56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4</w:t>
            </w:r>
          </w:p>
        </w:tc>
        <w:tc>
          <w:tcPr>
            <w:tcW w:type="dxa" w:w="26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توثيق الأثر عند الإقفال</w:t>
            </w:r>
          </w:p>
        </w:tc>
        <w:tc>
          <w:tcPr>
            <w:tcW w:type="dxa" w:w="26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طلب إقفال المبادرة</w:t>
            </w:r>
          </w:p>
        </w:tc>
        <w:tc>
          <w:tcPr>
            <w:tcW w:type="dxa" w:w="32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الشؤون المالية — أثر موثق بالإقفال</w:t>
            </w:r>
          </w:p>
        </w:tc>
      </w:tr>
      <w:tr>
        <w:trPr>
          <w:cantSplit/>
          <w:tblHeader w:val="false"/>
        </w:trPr>
        <w:tc>
          <w:tcPr>
            <w:tcW w:type="dxa" w:w="56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5</w:t>
            </w:r>
          </w:p>
        </w:tc>
        <w:tc>
          <w:tcPr>
            <w:tcW w:type="dxa" w:w="26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دورة التقييم الذاتي</w:t>
            </w:r>
          </w:p>
        </w:tc>
        <w:tc>
          <w:tcPr>
            <w:tcW w:type="dxa" w:w="26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تقييم ملاك الركائز للمعايير</w:t>
            </w:r>
          </w:p>
        </w:tc>
        <w:tc>
          <w:tcPr>
            <w:tcW w:type="dxa" w:w="32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قائد الفريق — الرفع لإكسبرو</w:t>
            </w:r>
          </w:p>
        </w:tc>
      </w:tr>
      <w:tr>
        <w:trPr>
          <w:cantSplit/>
          <w:tblHeader w:val="false"/>
        </w:trPr>
        <w:tc>
          <w:tcPr>
            <w:tcW w:type="dxa" w:w="56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6</w:t>
            </w:r>
          </w:p>
        </w:tc>
        <w:tc>
          <w:tcPr>
            <w:tcW w:type="dxa" w:w="26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محاكاة التقييم المستقل</w:t>
            </w:r>
          </w:p>
        </w:tc>
        <w:tc>
          <w:tcPr>
            <w:tcW w:type="dxa" w:w="26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تقييم محايد للمعايير</w:t>
            </w:r>
          </w:p>
        </w:tc>
        <w:tc>
          <w:tcPr>
            <w:tcW w:type="dxa" w:w="32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قائد الفريق — خطة معالجة الفجوات</w:t>
            </w:r>
          </w:p>
        </w:tc>
      </w:tr>
      <w:tr>
        <w:trPr>
          <w:cantSplit/>
          <w:tblHeader w:val="false"/>
        </w:trPr>
        <w:tc>
          <w:tcPr>
            <w:tcW w:type="dxa" w:w="56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7</w:t>
            </w:r>
          </w:p>
        </w:tc>
        <w:tc>
          <w:tcPr>
            <w:tcW w:type="dxa" w:w="26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مراجعات الإنفاق</w:t>
            </w:r>
          </w:p>
        </w:tc>
        <w:tc>
          <w:tcPr>
            <w:tcW w:type="dxa" w:w="26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خطة المراجعة السنوية</w:t>
            </w:r>
          </w:p>
        </w:tc>
        <w:tc>
          <w:tcPr>
            <w:tcW w:type="dxa" w:w="32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اللجنة التوجيهية — فرص تغذي المحفظة</w:t>
            </w:r>
          </w:p>
        </w:tc>
      </w:tr>
      <w:tr>
        <w:trPr>
          <w:cantSplit/>
          <w:tblHeader w:val="false"/>
        </w:trPr>
        <w:tc>
          <w:tcPr>
            <w:tcW w:type="dxa" w:w="56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8</w:t>
            </w:r>
          </w:p>
        </w:tc>
        <w:tc>
          <w:tcPr>
            <w:tcW w:type="dxa" w:w="262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اعتماد التقارير الدورية</w:t>
            </w:r>
          </w:p>
        </w:tc>
        <w:tc>
          <w:tcPr>
            <w:tcW w:type="dxa" w:w="262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توليد التقرير من المنصة</w:t>
            </w:r>
          </w:p>
        </w:tc>
        <w:tc>
          <w:tcPr>
            <w:tcW w:type="dxa" w:w="322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الرئيس التنفيذي — الرفع للجهة المستهدفة</w:t>
            </w:r>
          </w:p>
        </w:tc>
      </w:tr>
    </w:tbl>
    <w:p>
      <w:pPr>
        <w:bidi/>
        <w:spacing w:after="120"/>
      </w:pPr>
    </w:p>
    <w:p>
      <w:pPr>
        <w:pStyle w:val="Heading2"/>
        <w:keepNext/>
        <w:keepLines/>
        <w:bidi/>
        <w:spacing w:after="130" w:before="240"/>
      </w:pPr>
      <w:r>
        <w:rPr>
          <w:rFonts w:ascii="IBM Plex Sans Arabic" w:cs="IBM Plex Sans Arabic" w:eastAsia="IBM Plex Sans Arabic" w:hAnsi="IBM Plex Sans Arabic"/>
          <w:b/>
          <w:bCs/>
          <w:color w:val="098A4E"/>
          <w:sz w:val="25"/>
          <w:szCs w:val="25"/>
          <w:rtl/>
        </w:rPr>
        <w:t xml:space="preserve">8.2 المسارات المساندة</w:t>
      </w:r>
    </w:p>
    <w:tbl>
      <w:tblPr>
        <w:bidiVisual/>
        <w:tblW w:type="dxa" w:w="9020"/>
        <w:tblBorders>
          <w:top w:val="single" w:color="D8E0DB" w:sz="4"/>
          <w:left w:val="single" w:color="D8E0DB" w:sz="4"/>
          <w:bottom w:val="single" w:color="D8E0DB" w:sz="4"/>
          <w:right w:val="single" w:color="D8E0DB" w:sz="4"/>
          <w:insideH w:val="single" w:color="D8E0DB" w:sz="4"/>
          <w:insideV w:val="single" w:color="D8E0DB" w:sz="4"/>
        </w:tblBorders>
      </w:tblPr>
      <w:tblGrid>
        <w:gridCol w:w="560"/>
        <w:gridCol w:w="3120"/>
        <w:gridCol w:w="2560"/>
        <w:gridCol w:w="2780"/>
      </w:tblGrid>
      <w:tr>
        <w:trPr>
          <w:cantSplit/>
          <w:tblHeader/>
        </w:trPr>
        <w:tc>
          <w:tcPr>
            <w:tcW w:type="dxa" w:w="56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م</w:t>
            </w:r>
          </w:p>
        </w:tc>
        <w:tc>
          <w:tcPr>
            <w:tcW w:type="dxa" w:w="312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المسار</w:t>
            </w:r>
          </w:p>
        </w:tc>
        <w:tc>
          <w:tcPr>
            <w:tcW w:type="dxa" w:w="256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نقطة البداية</w:t>
            </w:r>
          </w:p>
        </w:tc>
        <w:tc>
          <w:tcPr>
            <w:tcW w:type="dxa" w:w="278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المعتمد النهائي</w:t>
            </w:r>
          </w:p>
        </w:tc>
      </w:tr>
      <w:tr>
        <w:trPr>
          <w:cantSplit/>
          <w:tblHeader w:val="false"/>
        </w:trPr>
        <w:tc>
          <w:tcPr>
            <w:tcW w:type="dxa" w:w="56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9</w:t>
            </w:r>
          </w:p>
        </w:tc>
        <w:tc>
          <w:tcPr>
            <w:tcW w:type="dxa" w:w="31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اعتماد وثيقة داعمة</w:t>
            </w:r>
          </w:p>
        </w:tc>
        <w:tc>
          <w:tcPr>
            <w:tcW w:type="dxa" w:w="256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رفع الوثيقة على المعيار</w:t>
            </w:r>
          </w:p>
        </w:tc>
        <w:tc>
          <w:tcPr>
            <w:tcW w:type="dxa" w:w="278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مالك الركيزة — حالة «متوفر»</w:t>
            </w:r>
          </w:p>
        </w:tc>
      </w:tr>
      <w:tr>
        <w:trPr>
          <w:cantSplit/>
          <w:tblHeader w:val="false"/>
        </w:trPr>
        <w:tc>
          <w:tcPr>
            <w:tcW w:type="dxa" w:w="56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10</w:t>
            </w:r>
          </w:p>
        </w:tc>
        <w:tc>
          <w:tcPr>
            <w:tcW w:type="dxa" w:w="31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إجراءات المعالجة</w:t>
            </w:r>
          </w:p>
        </w:tc>
        <w:tc>
          <w:tcPr>
            <w:tcW w:type="dxa" w:w="256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فجوة في معيار</w:t>
            </w:r>
          </w:p>
        </w:tc>
        <w:tc>
          <w:tcPr>
            <w:tcW w:type="dxa" w:w="278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مالك الركيزة — إغلاق الإجراء</w:t>
            </w:r>
          </w:p>
        </w:tc>
      </w:tr>
      <w:tr>
        <w:trPr>
          <w:cantSplit/>
          <w:tblHeader w:val="false"/>
        </w:trPr>
        <w:tc>
          <w:tcPr>
            <w:tcW w:type="dxa" w:w="56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11</w:t>
            </w:r>
          </w:p>
        </w:tc>
        <w:tc>
          <w:tcPr>
            <w:tcW w:type="dxa" w:w="31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إعداد واعتماد دراسة</w:t>
            </w:r>
          </w:p>
        </w:tc>
        <w:tc>
          <w:tcPr>
            <w:tcW w:type="dxa" w:w="256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تكليف معد الدراسة</w:t>
            </w:r>
          </w:p>
        </w:tc>
        <w:tc>
          <w:tcPr>
            <w:tcW w:type="dxa" w:w="278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قائد الفريق — دراسة معتمدة</w:t>
            </w:r>
          </w:p>
        </w:tc>
      </w:tr>
      <w:tr>
        <w:trPr>
          <w:cantSplit/>
          <w:tblHeader w:val="false"/>
        </w:trPr>
        <w:tc>
          <w:tcPr>
            <w:tcW w:type="dxa" w:w="56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12</w:t>
            </w:r>
          </w:p>
        </w:tc>
        <w:tc>
          <w:tcPr>
            <w:tcW w:type="dxa" w:w="31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تحديث دليل الخدمات وتكلفتها</w:t>
            </w:r>
          </w:p>
        </w:tc>
        <w:tc>
          <w:tcPr>
            <w:tcW w:type="dxa" w:w="256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طلب مالك الخدمة</w:t>
            </w:r>
          </w:p>
        </w:tc>
        <w:tc>
          <w:tcPr>
            <w:tcW w:type="dxa" w:w="278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الشؤون المالية</w:t>
            </w:r>
          </w:p>
        </w:tc>
      </w:tr>
      <w:tr>
        <w:trPr>
          <w:cantSplit/>
          <w:tblHeader w:val="false"/>
        </w:trPr>
        <w:tc>
          <w:tcPr>
            <w:tcW w:type="dxa" w:w="56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13</w:t>
            </w:r>
          </w:p>
        </w:tc>
        <w:tc>
          <w:tcPr>
            <w:tcW w:type="dxa" w:w="31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إدخال قيم المؤشرات</w:t>
            </w:r>
          </w:p>
        </w:tc>
        <w:tc>
          <w:tcPr>
            <w:tcW w:type="dxa" w:w="256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إدخال دوري للمنسق</w:t>
            </w:r>
          </w:p>
        </w:tc>
        <w:tc>
          <w:tcPr>
            <w:tcW w:type="dxa" w:w="278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مالك المؤشر</w:t>
            </w:r>
          </w:p>
        </w:tc>
      </w:tr>
      <w:tr>
        <w:trPr>
          <w:cantSplit/>
          <w:tblHeader w:val="false"/>
        </w:trPr>
        <w:tc>
          <w:tcPr>
            <w:tcW w:type="dxa" w:w="56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14</w:t>
            </w:r>
          </w:p>
        </w:tc>
        <w:tc>
          <w:tcPr>
            <w:tcW w:type="dxa" w:w="312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اجتماعات اللجان وقراراتها</w:t>
            </w:r>
          </w:p>
        </w:tc>
        <w:tc>
          <w:tcPr>
            <w:tcW w:type="dxa" w:w="256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جدول أعمال أمين السر</w:t>
            </w:r>
          </w:p>
        </w:tc>
        <w:tc>
          <w:tcPr>
            <w:tcW w:type="dxa" w:w="278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رئيس اللجنة — متابعة التنفيذ</w:t>
            </w:r>
          </w:p>
        </w:tc>
      </w:tr>
    </w:tbl>
    <w:p>
      <w:pPr>
        <w:bidi/>
        <w:spacing w:after="120"/>
      </w:pPr>
    </w:p>
    <w:tbl>
      <w:tblPr>
        <w:bidiVisual/>
        <w:tblW w:type="dxa" w:w="9020"/>
        <w:tblBorders>
          <w:top w:val="single" w:color="D8E0DB" w:sz="4"/>
          <w:left w:val="single" w:color="D8E0DB" w:sz="4"/>
          <w:bottom w:val="single" w:color="D8E0DB" w:sz="4"/>
          <w:right w:val="single" w:color="D8E0DB" w:sz="4"/>
          <w:insideH w:val="single" w:color="D8E0DB" w:sz="4"/>
          <w:insideV w:val="single" w:color="D8E0DB" w:sz="4"/>
        </w:tblBorders>
      </w:tblPr>
      <w:tblGrid>
        <w:gridCol w:w="560"/>
        <w:gridCol w:w="3120"/>
        <w:gridCol w:w="2560"/>
        <w:gridCol w:w="2780"/>
      </w:tblGrid>
      <w:tr>
        <w:trPr>
          <w:cantSplit/>
          <w:tblHeader/>
        </w:trPr>
        <w:tc>
          <w:tcPr>
            <w:tcW w:type="dxa" w:w="56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م</w:t>
            </w:r>
          </w:p>
        </w:tc>
        <w:tc>
          <w:tcPr>
            <w:tcW w:type="dxa" w:w="312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المسار</w:t>
            </w:r>
          </w:p>
        </w:tc>
        <w:tc>
          <w:tcPr>
            <w:tcW w:type="dxa" w:w="256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نقطة البداية</w:t>
            </w:r>
          </w:p>
        </w:tc>
        <w:tc>
          <w:tcPr>
            <w:tcW w:type="dxa" w:w="278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المعتمد النهائي</w:t>
            </w:r>
          </w:p>
        </w:tc>
      </w:tr>
      <w:tr>
        <w:trPr>
          <w:cantSplit/>
          <w:tblHeader w:val="false"/>
        </w:trPr>
        <w:tc>
          <w:tcPr>
            <w:tcW w:type="dxa" w:w="56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15</w:t>
            </w:r>
          </w:p>
        </w:tc>
        <w:tc>
          <w:tcPr>
            <w:tcW w:type="dxa" w:w="31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التصعيد ثلاثي المستويات</w:t>
            </w:r>
          </w:p>
        </w:tc>
        <w:tc>
          <w:tcPr>
            <w:tcW w:type="dxa" w:w="256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تعذر الحل على مستوى الفريق</w:t>
            </w:r>
          </w:p>
        </w:tc>
        <w:tc>
          <w:tcPr>
            <w:tcW w:type="dxa" w:w="278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اللجنة المختصة ثم إكسبرو</w:t>
            </w:r>
          </w:p>
        </w:tc>
      </w:tr>
      <w:tr>
        <w:trPr>
          <w:cantSplit/>
          <w:tblHeader w:val="false"/>
        </w:trPr>
        <w:tc>
          <w:tcPr>
            <w:tcW w:type="dxa" w:w="56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16</w:t>
            </w:r>
          </w:p>
        </w:tc>
        <w:tc>
          <w:tcPr>
            <w:tcW w:type="dxa" w:w="31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اعتماد سياسة</w:t>
            </w:r>
          </w:p>
        </w:tc>
        <w:tc>
          <w:tcPr>
            <w:tcW w:type="dxa" w:w="256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مسودة السياسة</w:t>
            </w:r>
          </w:p>
        </w:tc>
        <w:tc>
          <w:tcPr>
            <w:tcW w:type="dxa" w:w="278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اللجنة التوجيهية</w:t>
            </w:r>
          </w:p>
        </w:tc>
      </w:tr>
      <w:tr>
        <w:trPr>
          <w:cantSplit/>
          <w:tblHeader w:val="false"/>
        </w:trPr>
        <w:tc>
          <w:tcPr>
            <w:tcW w:type="dxa" w:w="56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17</w:t>
            </w:r>
          </w:p>
        </w:tc>
        <w:tc>
          <w:tcPr>
            <w:tcW w:type="dxa" w:w="31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دورة الترشيح والتكريم</w:t>
            </w:r>
          </w:p>
        </w:tc>
        <w:tc>
          <w:tcPr>
            <w:tcW w:type="dxa" w:w="256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ترشيح مبادرة أو فريق</w:t>
            </w:r>
          </w:p>
        </w:tc>
        <w:tc>
          <w:tcPr>
            <w:tcW w:type="dxa" w:w="278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اللجنة الإشرافية — الإعلان</w:t>
            </w:r>
          </w:p>
        </w:tc>
      </w:tr>
      <w:tr>
        <w:trPr>
          <w:cantSplit/>
          <w:tblHeader w:val="false"/>
        </w:trPr>
        <w:tc>
          <w:tcPr>
            <w:tcW w:type="dxa" w:w="56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18</w:t>
            </w:r>
          </w:p>
        </w:tc>
        <w:tc>
          <w:tcPr>
            <w:tcW w:type="dxa" w:w="31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قياس الوعي والتحسين</w:t>
            </w:r>
          </w:p>
        </w:tc>
        <w:tc>
          <w:tcPr>
            <w:tcW w:type="dxa" w:w="256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قياس دوري</w:t>
            </w:r>
          </w:p>
        </w:tc>
        <w:tc>
          <w:tcPr>
            <w:tcW w:type="dxa" w:w="278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قائد الفريق — إعادة القياس</w:t>
            </w:r>
          </w:p>
        </w:tc>
      </w:tr>
      <w:tr>
        <w:trPr>
          <w:cantSplit/>
          <w:tblHeader w:val="false"/>
        </w:trPr>
        <w:tc>
          <w:tcPr>
            <w:tcW w:type="dxa" w:w="56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19</w:t>
            </w:r>
          </w:p>
        </w:tc>
        <w:tc>
          <w:tcPr>
            <w:tcW w:type="dxa" w:w="31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معالجة التعثر والتأخر</w:t>
            </w:r>
          </w:p>
        </w:tc>
        <w:tc>
          <w:tcPr>
            <w:tcW w:type="dxa" w:w="256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رفع حالة على المبادرة</w:t>
            </w:r>
          </w:p>
        </w:tc>
        <w:tc>
          <w:tcPr>
            <w:tcW w:type="dxa" w:w="278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اللجنة الإشرافية — قرار معالجة</w:t>
            </w:r>
          </w:p>
        </w:tc>
      </w:tr>
      <w:tr>
        <w:trPr>
          <w:cantSplit/>
          <w:tblHeader w:val="false"/>
        </w:trPr>
        <w:tc>
          <w:tcPr>
            <w:tcW w:type="dxa" w:w="56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20</w:t>
            </w:r>
          </w:p>
        </w:tc>
        <w:tc>
          <w:tcPr>
            <w:tcW w:type="dxa" w:w="312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تصحيح البيانات (طلب تغيير)</w:t>
            </w:r>
          </w:p>
        </w:tc>
        <w:tc>
          <w:tcPr>
            <w:tcW w:type="dxa" w:w="256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طلب مستخدم مخول</w:t>
            </w:r>
          </w:p>
        </w:tc>
        <w:tc>
          <w:tcPr>
            <w:tcW w:type="dxa" w:w="278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مسؤول النظام — مع سجل تدقيق</w:t>
            </w:r>
          </w:p>
        </w:tc>
      </w:tr>
    </w:tbl>
    <w:p>
      <w:pPr>
        <w:pStyle w:val="Heading1"/>
        <w:keepNext/>
        <w:keepLines/>
        <w:pageBreakBefore/>
        <w:bidi/>
        <w:spacing w:after="190" w:before="340"/>
      </w:pPr>
      <w:r>
        <w:rPr>
          <w:rFonts w:ascii="IBM Plex Sans Arabic" w:cs="IBM Plex Sans Arabic" w:eastAsia="IBM Plex Sans Arabic" w:hAnsi="IBM Plex Sans Arabic"/>
          <w:b/>
          <w:bCs/>
          <w:color w:val="0A3B27"/>
          <w:sz w:val="30"/>
          <w:szCs w:val="30"/>
          <w:rtl/>
        </w:rPr>
        <w:t xml:space="preserve">9. قواعد العمل والضوابط</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BR-01: </w:t>
      </w:r>
      <w:r>
        <w:rPr>
          <w:rFonts w:ascii="Cairo" w:cs="Cairo" w:eastAsia="Cairo" w:hAnsi="Cairo"/>
          <w:b w:val="false"/>
          <w:bCs w:val="false"/>
          <w:color w:val="111815"/>
          <w:sz w:val="22"/>
          <w:szCs w:val="22"/>
          <w:rtl/>
        </w:rPr>
        <w:t xml:space="preserve">لا تُعتمد مبادرة ولا تتجاوز مرحلة «الدراسة» قبل إتمام التحقق المالي من أثرها المقدر.</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BR-02: </w:t>
      </w:r>
      <w:r>
        <w:rPr>
          <w:rFonts w:ascii="Cairo" w:cs="Cairo" w:eastAsia="Cairo" w:hAnsi="Cairo"/>
          <w:b w:val="false"/>
          <w:bCs w:val="false"/>
          <w:color w:val="111815"/>
          <w:sz w:val="22"/>
          <w:szCs w:val="22"/>
          <w:rtl/>
        </w:rPr>
        <w:t xml:space="preserve">لا يدخل طلب تمويل سلسلة المراجعة إلا باكتمال متطلباته الثمانية، ويُوثَّق أي استثناء بقرار صريح من صاحب الصلاحية.</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BR-03: </w:t>
      </w:r>
      <w:r>
        <w:rPr>
          <w:rFonts w:ascii="Cairo" w:cs="Cairo" w:eastAsia="Cairo" w:hAnsi="Cairo"/>
          <w:b w:val="false"/>
          <w:bCs w:val="false"/>
          <w:color w:val="111815"/>
          <w:sz w:val="22"/>
          <w:szCs w:val="22"/>
          <w:rtl/>
        </w:rPr>
        <w:t xml:space="preserve">لا يُحتسب في التقارير أي أثر مالي غير معتمد من الشؤون المالية، ويُميَّز المحقق عن الموثق بالإقفال.</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BR-04: </w:t>
      </w:r>
      <w:r>
        <w:rPr>
          <w:rFonts w:ascii="Cairo" w:cs="Cairo" w:eastAsia="Cairo" w:hAnsi="Cairo"/>
          <w:b w:val="false"/>
          <w:bCs w:val="false"/>
          <w:color w:val="111815"/>
          <w:sz w:val="22"/>
          <w:szCs w:val="22"/>
          <w:rtl/>
        </w:rPr>
        <w:t xml:space="preserve">تُحفظ درجات التقييم الذاتي ومحاكاة التقييم المستقل في سجلين منفصلين لا يُستبدل أحدهما بالآخر.</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BR-05: </w:t>
      </w:r>
      <w:r>
        <w:rPr>
          <w:rFonts w:ascii="Cairo" w:cs="Cairo" w:eastAsia="Cairo" w:hAnsi="Cairo"/>
          <w:b w:val="false"/>
          <w:bCs w:val="false"/>
          <w:color w:val="111815"/>
          <w:sz w:val="22"/>
          <w:szCs w:val="22"/>
          <w:rtl/>
        </w:rPr>
        <w:t xml:space="preserve">يمر التصعيد بمستوياته الثلاثة بالتسلسل، ولا يُرفع لإكسبرو إلا ما تعذر حله داخلياً وبقرار موثق.</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BR-06: </w:t>
      </w:r>
      <w:r>
        <w:rPr>
          <w:rFonts w:ascii="Cairo" w:cs="Cairo" w:eastAsia="Cairo" w:hAnsi="Cairo"/>
          <w:b w:val="false"/>
          <w:bCs w:val="false"/>
          <w:color w:val="111815"/>
          <w:sz w:val="22"/>
          <w:szCs w:val="22"/>
          <w:rtl/>
        </w:rPr>
        <w:t xml:space="preserve">تتدرج حالة الوثيقة الداعمة (غير متوفر، قيد الإعداد، متوفر) ولا تؤثر إلا الوثائق «المتوفرة» في نسب الاكتمال.</w:t>
      </w:r>
    </w:p>
    <w:p>
      <w:pPr>
        <w:pStyle w:val="ListParagraph"/>
        <w:keepNext/>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BR-07: </w:t>
      </w:r>
      <w:r>
        <w:rPr>
          <w:rFonts w:ascii="Cairo" w:cs="Cairo" w:eastAsia="Cairo" w:hAnsi="Cairo"/>
          <w:b w:val="false"/>
          <w:bCs w:val="false"/>
          <w:color w:val="111815"/>
          <w:sz w:val="22"/>
          <w:szCs w:val="22"/>
          <w:rtl/>
        </w:rPr>
        <w:t xml:space="preserve">تُقيَّد صلاحيات الإنشاء والتعديل والاعتماد بالأدوار المعرفة في القسم السادس، ويُمنع الجمع بين الإعداد والاعتماد للسجل الواحد.</w:t>
      </w:r>
    </w:p>
    <w:p>
      <w:pPr>
        <w:pStyle w:val="ListParagraph"/>
        <w:keepNext w:val="false"/>
        <w:keepLines/>
        <w:numPr>
          <w:ilvl w:val="0"/>
          <w:numId w:val="2"/>
        </w:numPr>
        <w:bidi/>
        <w:spacing w:after="90" w:line="330"/>
        <w:jc w:val="both"/>
      </w:pPr>
      <w:r>
        <w:rPr>
          <w:rFonts w:ascii="IBM Plex Sans Arabic" w:cs="IBM Plex Sans Arabic" w:eastAsia="IBM Plex Sans Arabic" w:hAnsi="IBM Plex Sans Arabic"/>
          <w:b/>
          <w:bCs/>
          <w:color w:val="098A4E"/>
          <w:sz w:val="22"/>
          <w:szCs w:val="22"/>
          <w:rtl/>
        </w:rPr>
        <w:t xml:space="preserve">BR-08: </w:t>
      </w:r>
      <w:r>
        <w:rPr>
          <w:rFonts w:ascii="Cairo" w:cs="Cairo" w:eastAsia="Cairo" w:hAnsi="Cairo"/>
          <w:b w:val="false"/>
          <w:bCs w:val="false"/>
          <w:color w:val="111815"/>
          <w:sz w:val="22"/>
          <w:szCs w:val="22"/>
          <w:rtl/>
        </w:rPr>
        <w:t xml:space="preserve">يُسجَّل كل إنشاء أو تعديل أو اعتماد في سجل تدقيق غير قابل للتعديل يتضمن المستخدم والوقت والقيم قبل التغيير وبعده.</w:t>
      </w:r>
    </w:p>
    <w:p>
      <w:pPr>
        <w:pStyle w:val="Heading1"/>
        <w:keepNext/>
        <w:keepLines/>
        <w:pageBreakBefore/>
        <w:bidi/>
        <w:spacing w:after="190" w:before="340"/>
      </w:pPr>
      <w:r>
        <w:rPr>
          <w:rFonts w:ascii="IBM Plex Sans Arabic" w:cs="IBM Plex Sans Arabic" w:eastAsia="IBM Plex Sans Arabic" w:hAnsi="IBM Plex Sans Arabic"/>
          <w:b/>
          <w:bCs/>
          <w:color w:val="0A3B27"/>
          <w:sz w:val="30"/>
          <w:szCs w:val="30"/>
          <w:rtl/>
        </w:rPr>
        <w:t xml:space="preserve">10. المتطلبات غير الوظيفية</w:t>
      </w:r>
    </w:p>
    <w:p>
      <w:pPr>
        <w:pStyle w:val="Heading2"/>
        <w:keepNext/>
        <w:keepLines/>
        <w:bidi/>
        <w:spacing w:after="130" w:before="240"/>
      </w:pPr>
      <w:r>
        <w:rPr>
          <w:rFonts w:ascii="IBM Plex Sans Arabic" w:cs="IBM Plex Sans Arabic" w:eastAsia="IBM Plex Sans Arabic" w:hAnsi="IBM Plex Sans Arabic"/>
          <w:b/>
          <w:bCs/>
          <w:color w:val="098A4E"/>
          <w:sz w:val="25"/>
          <w:szCs w:val="25"/>
          <w:rtl/>
        </w:rPr>
        <w:t xml:space="preserve">10.1 اللغة وتجربة الاستخدام</w:t>
      </w:r>
    </w:p>
    <w:p>
      <w:pPr>
        <w:pStyle w:val="ListParagraph"/>
        <w:keepNext/>
        <w:keepLines/>
        <w:numPr>
          <w:ilvl w:val="0"/>
          <w:numId w:val="2"/>
        </w:numPr>
        <w:bidi/>
        <w:spacing w:after="90" w:line="330"/>
        <w:jc w:val="both"/>
      </w:pPr>
      <w:r>
        <w:rPr>
          <w:rFonts w:ascii="Cairo" w:cs="Cairo" w:eastAsia="Cairo" w:hAnsi="Cairo"/>
          <w:b w:val="false"/>
          <w:bCs w:val="false"/>
          <w:color w:val="111815"/>
          <w:sz w:val="22"/>
          <w:szCs w:val="22"/>
          <w:rtl/>
        </w:rPr>
        <w:t xml:space="preserve">واجهة ثنائية اللغة كاملة: العربية أولاً باتجاه من اليمين إلى اليسار، والإنجليزية باتجاه معاكس، مع مبدّل لغة فوري يحافظ على حالة الشاشة، وقاموس مصطلحات موحد معتمد.</w:t>
      </w:r>
    </w:p>
    <w:p>
      <w:pPr>
        <w:pStyle w:val="ListParagraph"/>
        <w:keepNext/>
        <w:keepLines/>
        <w:numPr>
          <w:ilvl w:val="0"/>
          <w:numId w:val="2"/>
        </w:numPr>
        <w:bidi/>
        <w:spacing w:after="90" w:line="330"/>
        <w:jc w:val="both"/>
      </w:pPr>
      <w:r>
        <w:rPr>
          <w:rFonts w:ascii="Cairo" w:cs="Cairo" w:eastAsia="Cairo" w:hAnsi="Cairo"/>
          <w:b w:val="false"/>
          <w:bCs w:val="false"/>
          <w:color w:val="111815"/>
          <w:sz w:val="22"/>
          <w:szCs w:val="22"/>
          <w:rtl/>
        </w:rPr>
        <w:t xml:space="preserve">تصميم متجاوب يعمل بكامل الوظائف على أجهزة الحاسب والأجهزة اللوحية والهواتف، مع تنقل سفلي مخصص للجوال.</w:t>
      </w:r>
    </w:p>
    <w:p>
      <w:pPr>
        <w:pStyle w:val="ListParagraph"/>
        <w:keepNext w:val="false"/>
        <w:keepLines/>
        <w:numPr>
          <w:ilvl w:val="0"/>
          <w:numId w:val="2"/>
        </w:numPr>
        <w:bidi/>
        <w:spacing w:after="90" w:line="330"/>
        <w:jc w:val="both"/>
      </w:pPr>
      <w:r>
        <w:rPr>
          <w:rFonts w:ascii="Cairo" w:cs="Cairo" w:eastAsia="Cairo" w:hAnsi="Cairo"/>
          <w:b w:val="false"/>
          <w:bCs w:val="false"/>
          <w:color w:val="111815"/>
          <w:sz w:val="22"/>
          <w:szCs w:val="22"/>
          <w:rtl/>
        </w:rPr>
        <w:t xml:space="preserve">الالتزام بالهوية البصرية للهيئة، وبمستوى إتاحة لا يقل عن WCAG 2.1 AA.</w:t>
      </w:r>
    </w:p>
    <w:p>
      <w:pPr>
        <w:pStyle w:val="Heading2"/>
        <w:keepNext/>
        <w:keepLines/>
        <w:bidi/>
        <w:spacing w:after="130" w:before="240"/>
      </w:pPr>
      <w:r>
        <w:rPr>
          <w:rFonts w:ascii="IBM Plex Sans Arabic" w:cs="IBM Plex Sans Arabic" w:eastAsia="IBM Plex Sans Arabic" w:hAnsi="IBM Plex Sans Arabic"/>
          <w:b/>
          <w:bCs/>
          <w:color w:val="098A4E"/>
          <w:sz w:val="25"/>
          <w:szCs w:val="25"/>
          <w:rtl/>
        </w:rPr>
        <w:t xml:space="preserve">10.2 الأداء والتوافر</w:t>
      </w:r>
    </w:p>
    <w:p>
      <w:pPr>
        <w:pStyle w:val="ListParagraph"/>
        <w:keepNext/>
        <w:keepLines/>
        <w:numPr>
          <w:ilvl w:val="0"/>
          <w:numId w:val="2"/>
        </w:numPr>
        <w:bidi/>
        <w:spacing w:after="90" w:line="330"/>
        <w:jc w:val="both"/>
      </w:pPr>
      <w:r>
        <w:rPr>
          <w:rFonts w:ascii="Cairo" w:cs="Cairo" w:eastAsia="Cairo" w:hAnsi="Cairo"/>
          <w:b w:val="false"/>
          <w:bCs w:val="false"/>
          <w:color w:val="111815"/>
          <w:sz w:val="22"/>
          <w:szCs w:val="22"/>
          <w:rtl/>
        </w:rPr>
        <w:t xml:space="preserve">تحميل الشاشات الرئيسية خلال ثلاث ثوانٍ كحد أقصى ضمن شبكة الهيئة، واستجابة التفاعلات خلال ثانية واحدة.</w:t>
      </w:r>
    </w:p>
    <w:p>
      <w:pPr>
        <w:pStyle w:val="ListParagraph"/>
        <w:keepNext w:val="false"/>
        <w:keepLines/>
        <w:numPr>
          <w:ilvl w:val="0"/>
          <w:numId w:val="2"/>
        </w:numPr>
        <w:bidi/>
        <w:spacing w:after="90" w:line="330"/>
        <w:jc w:val="both"/>
      </w:pPr>
      <w:r>
        <w:rPr>
          <w:rFonts w:ascii="Cairo" w:cs="Cairo" w:eastAsia="Cairo" w:hAnsi="Cairo"/>
          <w:b w:val="false"/>
          <w:bCs w:val="false"/>
          <w:color w:val="111815"/>
          <w:sz w:val="22"/>
          <w:szCs w:val="22"/>
          <w:rtl/>
        </w:rPr>
        <w:t xml:space="preserve">توافر لا يقل عن 99.5% خلال أوقات العمل الرسمية، مع خطة استمرارية ونسخ احتياطي يومي واسترجاع مُختبَر.</w:t>
      </w:r>
    </w:p>
    <w:p>
      <w:pPr>
        <w:pStyle w:val="Heading2"/>
        <w:keepNext/>
        <w:keepLines/>
        <w:bidi/>
        <w:spacing w:after="130" w:before="240"/>
      </w:pPr>
      <w:r>
        <w:rPr>
          <w:rFonts w:ascii="IBM Plex Sans Arabic" w:cs="IBM Plex Sans Arabic" w:eastAsia="IBM Plex Sans Arabic" w:hAnsi="IBM Plex Sans Arabic"/>
          <w:b/>
          <w:bCs/>
          <w:color w:val="098A4E"/>
          <w:sz w:val="25"/>
          <w:szCs w:val="25"/>
          <w:rtl/>
        </w:rPr>
        <w:t xml:space="preserve">10.3 الأمن والامتثال</w:t>
      </w:r>
    </w:p>
    <w:p>
      <w:pPr>
        <w:pStyle w:val="ListParagraph"/>
        <w:keepNext/>
        <w:keepLines/>
        <w:numPr>
          <w:ilvl w:val="0"/>
          <w:numId w:val="2"/>
        </w:numPr>
        <w:bidi/>
        <w:spacing w:after="90" w:line="330"/>
        <w:jc w:val="both"/>
      </w:pPr>
      <w:r>
        <w:rPr>
          <w:rFonts w:ascii="Cairo" w:cs="Cairo" w:eastAsia="Cairo" w:hAnsi="Cairo"/>
          <w:b w:val="false"/>
          <w:bCs w:val="false"/>
          <w:color w:val="111815"/>
          <w:sz w:val="22"/>
          <w:szCs w:val="22"/>
          <w:rtl/>
        </w:rPr>
        <w:t xml:space="preserve">الالتزام بالضوابط الأساسية للأمن السيبراني الصادرة عن الهيئة الوطنية للأمن السيبراني (ECC) وسياسات الهيئة.</w:t>
      </w:r>
    </w:p>
    <w:p>
      <w:pPr>
        <w:pStyle w:val="ListParagraph"/>
        <w:keepNext/>
        <w:keepLines/>
        <w:numPr>
          <w:ilvl w:val="0"/>
          <w:numId w:val="2"/>
        </w:numPr>
        <w:bidi/>
        <w:spacing w:after="90" w:line="330"/>
        <w:jc w:val="both"/>
      </w:pPr>
      <w:r>
        <w:rPr>
          <w:rFonts w:ascii="Cairo" w:cs="Cairo" w:eastAsia="Cairo" w:hAnsi="Cairo"/>
          <w:b w:val="false"/>
          <w:bCs w:val="false"/>
          <w:color w:val="111815"/>
          <w:sz w:val="22"/>
          <w:szCs w:val="22"/>
          <w:rtl/>
        </w:rPr>
        <w:t xml:space="preserve">الامتثال لنظام حماية البيانات الشخصية السعودي (PDPL) في جمع البيانات ومعالجتها والاحتفاظ بها.</w:t>
      </w:r>
    </w:p>
    <w:p>
      <w:pPr>
        <w:pStyle w:val="ListParagraph"/>
        <w:keepNext/>
        <w:keepLines/>
        <w:numPr>
          <w:ilvl w:val="0"/>
          <w:numId w:val="2"/>
        </w:numPr>
        <w:bidi/>
        <w:spacing w:after="90" w:line="330"/>
        <w:jc w:val="both"/>
      </w:pPr>
      <w:r>
        <w:rPr>
          <w:rFonts w:ascii="Cairo" w:cs="Cairo" w:eastAsia="Cairo" w:hAnsi="Cairo"/>
          <w:b w:val="false"/>
          <w:bCs w:val="false"/>
          <w:color w:val="111815"/>
          <w:sz w:val="22"/>
          <w:szCs w:val="22"/>
          <w:rtl/>
        </w:rPr>
        <w:t xml:space="preserve">دخول موحد عبر هوية الهيئة مع مصادقة متعددة العوامل للأدوار الاعتمادية، وتشفير البيانات نقلاً وتخزيناً.</w:t>
      </w:r>
    </w:p>
    <w:p>
      <w:pPr>
        <w:pStyle w:val="ListParagraph"/>
        <w:keepNext w:val="false"/>
        <w:keepLines/>
        <w:numPr>
          <w:ilvl w:val="0"/>
          <w:numId w:val="2"/>
        </w:numPr>
        <w:bidi/>
        <w:spacing w:after="90" w:line="330"/>
        <w:jc w:val="both"/>
      </w:pPr>
      <w:r>
        <w:rPr>
          <w:rFonts w:ascii="Cairo" w:cs="Cairo" w:eastAsia="Cairo" w:hAnsi="Cairo"/>
          <w:b w:val="false"/>
          <w:bCs w:val="false"/>
          <w:color w:val="111815"/>
          <w:sz w:val="22"/>
          <w:szCs w:val="22"/>
          <w:rtl/>
        </w:rPr>
        <w:t xml:space="preserve">استضافة داخل المملكة على البنية المعتمدة لدى الهيئة (سحابة حكومية أو مراكز بيانات الهيئة).</w:t>
      </w:r>
    </w:p>
    <w:p>
      <w:pPr>
        <w:pStyle w:val="Heading1"/>
        <w:keepNext/>
        <w:keepLines/>
        <w:pageBreakBefore/>
        <w:bidi/>
        <w:spacing w:after="190" w:before="340"/>
      </w:pPr>
      <w:r>
        <w:rPr>
          <w:rFonts w:ascii="IBM Plex Sans Arabic" w:cs="IBM Plex Sans Arabic" w:eastAsia="IBM Plex Sans Arabic" w:hAnsi="IBM Plex Sans Arabic"/>
          <w:b/>
          <w:bCs/>
          <w:color w:val="0A3B27"/>
          <w:sz w:val="30"/>
          <w:szCs w:val="30"/>
          <w:rtl/>
        </w:rPr>
        <w:t xml:space="preserve">11. التكاملات مع الأنظمة</w:t>
      </w:r>
    </w:p>
    <w:p>
      <w:pPr>
        <w:keepNext/>
        <w:keepLines/>
        <w:bidi/>
        <w:spacing w:after="140" w:line="330"/>
        <w:jc w:val="both"/>
      </w:pPr>
      <w:r>
        <w:rPr>
          <w:rFonts w:ascii="Cairo" w:cs="Cairo" w:eastAsia="Cairo" w:hAnsi="Cairo"/>
          <w:b w:val="false"/>
          <w:bCs w:val="false"/>
          <w:color w:val="111815"/>
          <w:sz w:val="22"/>
          <w:szCs w:val="22"/>
          <w:rtl/>
        </w:rPr>
        <w:t xml:space="preserve">تُبنى التكاملات عبر واجهات برمجية معتمدة، ويُتفق على نمط كل تكامل في مرحلة التصميم التفصيلي:</w:t>
      </w:r>
    </w:p>
    <w:tbl>
      <w:tblPr>
        <w:bidiVisual/>
        <w:tblW w:type="dxa" w:w="9020"/>
        <w:tblBorders>
          <w:top w:val="single" w:color="D8E0DB" w:sz="4"/>
          <w:left w:val="single" w:color="D8E0DB" w:sz="4"/>
          <w:bottom w:val="single" w:color="D8E0DB" w:sz="4"/>
          <w:right w:val="single" w:color="D8E0DB" w:sz="4"/>
          <w:insideH w:val="single" w:color="D8E0DB" w:sz="4"/>
          <w:insideV w:val="single" w:color="D8E0DB" w:sz="4"/>
        </w:tblBorders>
      </w:tblPr>
      <w:tblGrid>
        <w:gridCol w:w="2740"/>
        <w:gridCol w:w="3820"/>
        <w:gridCol w:w="2460"/>
      </w:tblGrid>
      <w:tr>
        <w:trPr>
          <w:cantSplit/>
          <w:tblHeader/>
        </w:trPr>
        <w:tc>
          <w:tcPr>
            <w:tcW w:type="dxa" w:w="274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النظام</w:t>
            </w:r>
          </w:p>
        </w:tc>
        <w:tc>
          <w:tcPr>
            <w:tcW w:type="dxa" w:w="382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الغرض من التكامل</w:t>
            </w:r>
          </w:p>
        </w:tc>
        <w:tc>
          <w:tcPr>
            <w:tcW w:type="dxa" w:w="246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النمط المتوقع</w:t>
            </w:r>
          </w:p>
        </w:tc>
      </w:tr>
      <w:tr>
        <w:trPr>
          <w:cantSplit/>
          <w:tblHeader w:val="false"/>
        </w:trPr>
        <w:tc>
          <w:tcPr>
            <w:tcW w:type="dxa" w:w="274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نظام تخطيط الموارد (المالية)</w:t>
            </w:r>
          </w:p>
        </w:tc>
        <w:tc>
          <w:tcPr>
            <w:tcW w:type="dxa" w:w="38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بيانات الميزانية والمنصرف الفعلي لأبوابها</w:t>
            </w:r>
          </w:p>
        </w:tc>
        <w:tc>
          <w:tcPr>
            <w:tcW w:type="dxa" w:w="246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دُفعي يومي</w:t>
            </w:r>
          </w:p>
        </w:tc>
      </w:tr>
      <w:tr>
        <w:trPr>
          <w:cantSplit/>
          <w:tblHeader w:val="false"/>
        </w:trPr>
        <w:tc>
          <w:tcPr>
            <w:tcW w:type="dxa" w:w="274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منصة اعتماد / وزارة المالية</w:t>
            </w:r>
          </w:p>
        </w:tc>
        <w:tc>
          <w:tcPr>
            <w:tcW w:type="dxa" w:w="38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حالة طلبات التمويل المرفوعة</w:t>
            </w:r>
          </w:p>
        </w:tc>
        <w:tc>
          <w:tcPr>
            <w:tcW w:type="dxa" w:w="246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حسب الإتاحة الرسمية</w:t>
            </w:r>
          </w:p>
        </w:tc>
      </w:tr>
      <w:tr>
        <w:trPr>
          <w:cantSplit/>
          <w:tblHeader w:val="false"/>
        </w:trPr>
        <w:tc>
          <w:tcPr>
            <w:tcW w:type="dxa" w:w="274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نظام إدارة الوثائق</w:t>
            </w:r>
          </w:p>
        </w:tc>
        <w:tc>
          <w:tcPr>
            <w:tcW w:type="dxa" w:w="38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حفظ الوثائق الداعمة والأدلة بمرجعية موحدة</w:t>
            </w:r>
          </w:p>
        </w:tc>
        <w:tc>
          <w:tcPr>
            <w:tcW w:type="dxa" w:w="246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آني عبر واجهات</w:t>
            </w:r>
          </w:p>
        </w:tc>
      </w:tr>
      <w:tr>
        <w:trPr>
          <w:cantSplit/>
          <w:tblHeader w:val="false"/>
        </w:trPr>
        <w:tc>
          <w:tcPr>
            <w:tcW w:type="dxa" w:w="274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نظام الموارد البشرية</w:t>
            </w:r>
          </w:p>
        </w:tc>
        <w:tc>
          <w:tcPr>
            <w:tcW w:type="dxa" w:w="38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بيانات التدريب والمشاركين للقدرات</w:t>
            </w:r>
          </w:p>
        </w:tc>
        <w:tc>
          <w:tcPr>
            <w:tcW w:type="dxa" w:w="246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دُفعي</w:t>
            </w:r>
          </w:p>
        </w:tc>
      </w:tr>
      <w:tr>
        <w:trPr>
          <w:cantSplit/>
          <w:tblHeader w:val="false"/>
        </w:trPr>
        <w:tc>
          <w:tcPr>
            <w:tcW w:type="dxa" w:w="274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الدخول الموحد للهيئة</w:t>
            </w:r>
          </w:p>
        </w:tc>
        <w:tc>
          <w:tcPr>
            <w:tcW w:type="dxa" w:w="38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الهوية والمصادقة وإسناد الأدوار</w:t>
            </w:r>
          </w:p>
        </w:tc>
        <w:tc>
          <w:tcPr>
            <w:tcW w:type="dxa" w:w="246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آني</w:t>
            </w:r>
          </w:p>
        </w:tc>
      </w:tr>
      <w:tr>
        <w:trPr>
          <w:cantSplit/>
          <w:tblHeader w:val="false"/>
        </w:trPr>
        <w:tc>
          <w:tcPr>
            <w:tcW w:type="dxa" w:w="274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قنوات إكسبرو</w:t>
            </w:r>
          </w:p>
        </w:tc>
        <w:tc>
          <w:tcPr>
            <w:tcW w:type="dxa" w:w="382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تصدير حزم التقييم والتقارير بالقوالب المعتمدة</w:t>
            </w:r>
          </w:p>
        </w:tc>
        <w:tc>
          <w:tcPr>
            <w:tcW w:type="dxa" w:w="246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ملفات معتمدة</w:t>
            </w:r>
          </w:p>
        </w:tc>
      </w:tr>
    </w:tbl>
    <w:p>
      <w:pPr>
        <w:pStyle w:val="Heading1"/>
        <w:keepNext/>
        <w:keepLines/>
        <w:pageBreakBefore/>
        <w:bidi/>
        <w:spacing w:after="190" w:before="340"/>
      </w:pPr>
      <w:r>
        <w:rPr>
          <w:rFonts w:ascii="IBM Plex Sans Arabic" w:cs="IBM Plex Sans Arabic" w:eastAsia="IBM Plex Sans Arabic" w:hAnsi="IBM Plex Sans Arabic"/>
          <w:b/>
          <w:bCs/>
          <w:color w:val="0A3B27"/>
          <w:sz w:val="30"/>
          <w:szCs w:val="30"/>
          <w:rtl/>
        </w:rPr>
        <w:t xml:space="preserve">12. البيانات والتقارير</w:t>
      </w:r>
    </w:p>
    <w:p>
      <w:pPr>
        <w:pStyle w:val="Heading2"/>
        <w:keepNext/>
        <w:keepLines/>
        <w:bidi/>
        <w:spacing w:after="130" w:before="240"/>
      </w:pPr>
      <w:r>
        <w:rPr>
          <w:rFonts w:ascii="IBM Plex Sans Arabic" w:cs="IBM Plex Sans Arabic" w:eastAsia="IBM Plex Sans Arabic" w:hAnsi="IBM Plex Sans Arabic"/>
          <w:b/>
          <w:bCs/>
          <w:color w:val="098A4E"/>
          <w:sz w:val="25"/>
          <w:szCs w:val="25"/>
          <w:rtl/>
        </w:rPr>
        <w:t xml:space="preserve">12.1 الكيانات الرئيسية</w:t>
      </w:r>
    </w:p>
    <w:p>
      <w:pPr>
        <w:keepNext w:val="false"/>
        <w:keepLines/>
        <w:bidi/>
        <w:spacing w:after="140" w:line="330"/>
        <w:jc w:val="both"/>
      </w:pPr>
      <w:r>
        <w:rPr>
          <w:rFonts w:ascii="Cairo" w:cs="Cairo" w:eastAsia="Cairo" w:hAnsi="Cairo"/>
          <w:b w:val="false"/>
          <w:bCs w:val="false"/>
          <w:color w:val="111815"/>
          <w:sz w:val="22"/>
          <w:szCs w:val="22"/>
          <w:rtl/>
        </w:rPr>
        <w:t xml:space="preserve">تدير المنصة الكيانات التالية (الأحجام تأشيرية من النموذج الأولي وتتسع دون قيود بنيوية): الركائز السبع ومعاييرها الثلاثة والثلاثون ووثائقها الداعمة (72 وثيقة لكل دورة)، والمبادرات (28)، وطلبات التمويل (12)، والدراسات (14)، والخدمات المسعّرة (16)، ومؤشرات الأداء (22) في مجموعاتها الأربع، وأبواب الميزانية (6)، والبرامج (10)، ومراجعات الإنفاق، والسياسات، والاجتماعات وقراراتها.</w:t>
      </w:r>
    </w:p>
    <w:p>
      <w:pPr>
        <w:pStyle w:val="Heading2"/>
        <w:keepNext/>
        <w:keepLines/>
        <w:bidi/>
        <w:spacing w:after="130" w:before="240"/>
      </w:pPr>
      <w:r>
        <w:rPr>
          <w:rFonts w:ascii="IBM Plex Sans Arabic" w:cs="IBM Plex Sans Arabic" w:eastAsia="IBM Plex Sans Arabic" w:hAnsi="IBM Plex Sans Arabic"/>
          <w:b/>
          <w:bCs/>
          <w:color w:val="098A4E"/>
          <w:sz w:val="25"/>
          <w:szCs w:val="25"/>
          <w:rtl/>
        </w:rPr>
        <w:t xml:space="preserve">12.2 التقارير</w:t>
      </w:r>
    </w:p>
    <w:p>
      <w:pPr>
        <w:keepNext w:val="false"/>
        <w:keepLines/>
        <w:bidi/>
        <w:spacing w:after="140" w:line="330"/>
        <w:jc w:val="both"/>
      </w:pPr>
      <w:r>
        <w:rPr>
          <w:rFonts w:ascii="Cairo" w:cs="Cairo" w:eastAsia="Cairo" w:hAnsi="Cairo"/>
          <w:b w:val="false"/>
          <w:bCs w:val="false"/>
          <w:color w:val="111815"/>
          <w:sz w:val="22"/>
          <w:szCs w:val="22"/>
          <w:rtl/>
        </w:rPr>
        <w:t xml:space="preserve">أربعة تقارير حية تُولَّد من بيانات المنصة مباشرة: التقرير الربع سنوي، والتقرير السنوي، وتقرير جاهزية الركائز، وحزمة الرفع لإكسبرو؛ جميعها قابلة للطباعة وقابلة للتصدير، وتخضع لمسار الاعتماد قبل الرفع. كما تتيح المنصة تصدير البيانات واستيرادها بصيغ مفتوحة لأغراض التدقيق والأرشفة.</w:t>
      </w:r>
    </w:p>
    <w:p>
      <w:pPr>
        <w:pStyle w:val="Heading1"/>
        <w:keepNext/>
        <w:keepLines/>
        <w:pageBreakBefore/>
        <w:bidi/>
        <w:spacing w:after="190" w:before="340"/>
      </w:pPr>
      <w:r>
        <w:rPr>
          <w:rFonts w:ascii="IBM Plex Sans Arabic" w:cs="IBM Plex Sans Arabic" w:eastAsia="IBM Plex Sans Arabic" w:hAnsi="IBM Plex Sans Arabic"/>
          <w:b/>
          <w:bCs/>
          <w:color w:val="0A3B27"/>
          <w:sz w:val="30"/>
          <w:szCs w:val="30"/>
          <w:rtl/>
        </w:rPr>
        <w:t xml:space="preserve">13. مراحل التنفيذ والجدول الزمني</w:t>
      </w:r>
    </w:p>
    <w:p>
      <w:pPr>
        <w:keepNext/>
        <w:keepLines/>
        <w:bidi/>
        <w:spacing w:after="140" w:line="330"/>
        <w:jc w:val="both"/>
      </w:pPr>
      <w:r>
        <w:rPr>
          <w:rFonts w:ascii="Cairo" w:cs="Cairo" w:eastAsia="Cairo" w:hAnsi="Cairo"/>
          <w:b w:val="false"/>
          <w:bCs w:val="false"/>
          <w:color w:val="111815"/>
          <w:sz w:val="22"/>
          <w:szCs w:val="22"/>
          <w:rtl/>
        </w:rPr>
        <w:t xml:space="preserve">يُنفَّذ المشروع على أربع مراحل خلال اثني عشر شهراً تقريباً. ويُشار إلى أن توفر النموذج الأولي التفاعلي المعتمد يقلص مرحلة الاكتشاف ويحسم القرارات الوظيفية والبصرية مبكراً:</w:t>
      </w:r>
    </w:p>
    <w:tbl>
      <w:tblPr>
        <w:bidiVisual/>
        <w:tblW w:type="dxa" w:w="9020"/>
        <w:tblBorders>
          <w:top w:val="single" w:color="D8E0DB" w:sz="4"/>
          <w:left w:val="single" w:color="D8E0DB" w:sz="4"/>
          <w:bottom w:val="single" w:color="D8E0DB" w:sz="4"/>
          <w:right w:val="single" w:color="D8E0DB" w:sz="4"/>
          <w:insideH w:val="single" w:color="D8E0DB" w:sz="4"/>
          <w:insideV w:val="single" w:color="D8E0DB" w:sz="4"/>
        </w:tblBorders>
      </w:tblPr>
      <w:tblGrid>
        <w:gridCol w:w="2100"/>
        <w:gridCol w:w="4820"/>
        <w:gridCol w:w="2100"/>
      </w:tblGrid>
      <w:tr>
        <w:trPr>
          <w:cantSplit/>
          <w:tblHeader/>
        </w:trPr>
        <w:tc>
          <w:tcPr>
            <w:tcW w:type="dxa" w:w="210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المرحلة</w:t>
            </w:r>
          </w:p>
        </w:tc>
        <w:tc>
          <w:tcPr>
            <w:tcW w:type="dxa" w:w="482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النطاق الرئيسي</w:t>
            </w:r>
          </w:p>
        </w:tc>
        <w:tc>
          <w:tcPr>
            <w:tcW w:type="dxa" w:w="210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المدة التقديرية</w:t>
            </w:r>
          </w:p>
        </w:tc>
      </w:tr>
      <w:tr>
        <w:trPr>
          <w:cantSplit/>
          <w:tblHeader w:val="false"/>
        </w:trPr>
        <w:tc>
          <w:tcPr>
            <w:tcW w:type="dxa" w:w="21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الاكتشاف والتصميم</w:t>
            </w:r>
          </w:p>
        </w:tc>
        <w:tc>
          <w:tcPr>
            <w:tcW w:type="dxa" w:w="48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التحقق من المتطلبات، التصميم التفصيلي، خطة التكاملات، تصميم الصلاحيات</w:t>
            </w:r>
          </w:p>
        </w:tc>
        <w:tc>
          <w:tcPr>
            <w:tcW w:type="dxa" w:w="21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6 – 8 أسابيع</w:t>
            </w:r>
          </w:p>
        </w:tc>
      </w:tr>
      <w:tr>
        <w:trPr>
          <w:cantSplit/>
          <w:tblHeader w:val="false"/>
        </w:trPr>
        <w:tc>
          <w:tcPr>
            <w:tcW w:type="dxa" w:w="21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بناء النواة</w:t>
            </w:r>
          </w:p>
        </w:tc>
        <w:tc>
          <w:tcPr>
            <w:tcW w:type="dxa" w:w="48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الخدمات الوظيفية الاثنتا عشرة والمسارات الرئيسية وثنائية اللغة</w:t>
            </w:r>
          </w:p>
        </w:tc>
        <w:tc>
          <w:tcPr>
            <w:tcW w:type="dxa" w:w="21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4 – 5 أشهر</w:t>
            </w:r>
          </w:p>
        </w:tc>
      </w:tr>
      <w:tr>
        <w:trPr>
          <w:cantSplit/>
          <w:tblHeader w:val="false"/>
        </w:trPr>
        <w:tc>
          <w:tcPr>
            <w:tcW w:type="dxa" w:w="21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التكاملات والاستكمال</w:t>
            </w:r>
          </w:p>
        </w:tc>
        <w:tc>
          <w:tcPr>
            <w:tcW w:type="dxa" w:w="48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التكاملات الست، بقية المسارات، الإشعارات، سجلات التدقيق</w:t>
            </w:r>
          </w:p>
        </w:tc>
        <w:tc>
          <w:tcPr>
            <w:tcW w:type="dxa" w:w="21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3 – 4 أشهر</w:t>
            </w:r>
          </w:p>
        </w:tc>
      </w:tr>
      <w:tr>
        <w:trPr>
          <w:cantSplit/>
          <w:tblHeader w:val="false"/>
        </w:trPr>
        <w:tc>
          <w:tcPr>
            <w:tcW w:type="dxa" w:w="210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القبول والتشغيل</w:t>
            </w:r>
          </w:p>
        </w:tc>
        <w:tc>
          <w:tcPr>
            <w:tcW w:type="dxa" w:w="482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اختبار القبول، الاعتماد الأمني، التدريب، الإطلاق والدعم المكثف</w:t>
            </w:r>
          </w:p>
        </w:tc>
        <w:tc>
          <w:tcPr>
            <w:tcW w:type="dxa" w:w="210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2 – 3 أشهر</w:t>
            </w:r>
          </w:p>
        </w:tc>
      </w:tr>
    </w:tbl>
    <w:p>
      <w:pPr>
        <w:pStyle w:val="Heading1"/>
        <w:keepNext/>
        <w:keepLines/>
        <w:pageBreakBefore/>
        <w:bidi/>
        <w:spacing w:after="190" w:before="340"/>
      </w:pPr>
      <w:r>
        <w:rPr>
          <w:rFonts w:ascii="IBM Plex Sans Arabic" w:cs="IBM Plex Sans Arabic" w:eastAsia="IBM Plex Sans Arabic" w:hAnsi="IBM Plex Sans Arabic"/>
          <w:b/>
          <w:bCs/>
          <w:color w:val="0A3B27"/>
          <w:sz w:val="30"/>
          <w:szCs w:val="30"/>
          <w:rtl/>
        </w:rPr>
        <w:t xml:space="preserve">14. الافتراضات والقيود</w:t>
      </w:r>
    </w:p>
    <w:p>
      <w:pPr>
        <w:pStyle w:val="Heading2"/>
        <w:keepNext/>
        <w:keepLines/>
        <w:bidi/>
        <w:spacing w:after="130" w:before="240"/>
      </w:pPr>
      <w:r>
        <w:rPr>
          <w:rFonts w:ascii="IBM Plex Sans Arabic" w:cs="IBM Plex Sans Arabic" w:eastAsia="IBM Plex Sans Arabic" w:hAnsi="IBM Plex Sans Arabic"/>
          <w:b/>
          <w:bCs/>
          <w:color w:val="098A4E"/>
          <w:sz w:val="25"/>
          <w:szCs w:val="25"/>
          <w:rtl/>
        </w:rPr>
        <w:t xml:space="preserve">14.1 الافتراضات</w:t>
      </w:r>
    </w:p>
    <w:p>
      <w:pPr>
        <w:pStyle w:val="ListParagraph"/>
        <w:keepNext/>
        <w:keepLines/>
        <w:numPr>
          <w:ilvl w:val="0"/>
          <w:numId w:val="2"/>
        </w:numPr>
        <w:bidi/>
        <w:spacing w:after="90" w:line="330"/>
        <w:jc w:val="both"/>
      </w:pPr>
      <w:r>
        <w:rPr>
          <w:rFonts w:ascii="Cairo" w:cs="Cairo" w:eastAsia="Cairo" w:hAnsi="Cairo"/>
          <w:b w:val="false"/>
          <w:bCs w:val="false"/>
          <w:color w:val="111815"/>
          <w:sz w:val="22"/>
          <w:szCs w:val="22"/>
          <w:rtl/>
        </w:rPr>
        <w:t xml:space="preserve">توفر جهة تنسيق واحدة مخولة من الهيئة لحسم القرارات الوظيفية خلال التنفيذ.</w:t>
      </w:r>
    </w:p>
    <w:p>
      <w:pPr>
        <w:pStyle w:val="ListParagraph"/>
        <w:keepNext/>
        <w:keepLines/>
        <w:numPr>
          <w:ilvl w:val="0"/>
          <w:numId w:val="2"/>
        </w:numPr>
        <w:bidi/>
        <w:spacing w:after="90" w:line="330"/>
        <w:jc w:val="both"/>
      </w:pPr>
      <w:r>
        <w:rPr>
          <w:rFonts w:ascii="Cairo" w:cs="Cairo" w:eastAsia="Cairo" w:hAnsi="Cairo"/>
          <w:b w:val="false"/>
          <w:bCs w:val="false"/>
          <w:color w:val="111815"/>
          <w:sz w:val="22"/>
          <w:szCs w:val="22"/>
          <w:rtl/>
        </w:rPr>
        <w:t xml:space="preserve">إتاحة واجهات الأنظمة المصدر وبيئات الاختبار في مواعيد خطة التكاملات.</w:t>
      </w:r>
    </w:p>
    <w:p>
      <w:pPr>
        <w:pStyle w:val="ListParagraph"/>
        <w:keepNext w:val="false"/>
        <w:keepLines/>
        <w:numPr>
          <w:ilvl w:val="0"/>
          <w:numId w:val="2"/>
        </w:numPr>
        <w:bidi/>
        <w:spacing w:after="90" w:line="330"/>
        <w:jc w:val="both"/>
      </w:pPr>
      <w:r>
        <w:rPr>
          <w:rFonts w:ascii="Cairo" w:cs="Cairo" w:eastAsia="Cairo" w:hAnsi="Cairo"/>
          <w:b w:val="false"/>
          <w:bCs w:val="false"/>
          <w:color w:val="111815"/>
          <w:sz w:val="22"/>
          <w:szCs w:val="22"/>
          <w:rtl/>
        </w:rPr>
        <w:t xml:space="preserve">اعتماد قاموس المصطلحات ثنائي اللغة الوارد في النموذج الأولي أساساً لغوياً موحداً.</w:t>
      </w:r>
    </w:p>
    <w:p>
      <w:pPr>
        <w:pStyle w:val="Heading2"/>
        <w:keepNext/>
        <w:keepLines/>
        <w:bidi/>
        <w:spacing w:after="130" w:before="240"/>
      </w:pPr>
      <w:r>
        <w:rPr>
          <w:rFonts w:ascii="IBM Plex Sans Arabic" w:cs="IBM Plex Sans Arabic" w:eastAsia="IBM Plex Sans Arabic" w:hAnsi="IBM Plex Sans Arabic"/>
          <w:b/>
          <w:bCs/>
          <w:color w:val="098A4E"/>
          <w:sz w:val="25"/>
          <w:szCs w:val="25"/>
          <w:rtl/>
        </w:rPr>
        <w:t xml:space="preserve">14.2 القيود</w:t>
      </w:r>
    </w:p>
    <w:p>
      <w:pPr>
        <w:pStyle w:val="ListParagraph"/>
        <w:keepNext/>
        <w:keepLines/>
        <w:numPr>
          <w:ilvl w:val="0"/>
          <w:numId w:val="2"/>
        </w:numPr>
        <w:bidi/>
        <w:spacing w:after="90" w:line="330"/>
        <w:jc w:val="both"/>
      </w:pPr>
      <w:r>
        <w:rPr>
          <w:rFonts w:ascii="Cairo" w:cs="Cairo" w:eastAsia="Cairo" w:hAnsi="Cairo"/>
          <w:b w:val="false"/>
          <w:bCs w:val="false"/>
          <w:color w:val="111815"/>
          <w:sz w:val="22"/>
          <w:szCs w:val="22"/>
          <w:rtl/>
        </w:rPr>
        <w:t xml:space="preserve">الالتزام بمتطلبات كراسة الشروط رقم (20000424) وأي تحديثات تصدر عن إكسبرو لدورات التقييم.</w:t>
      </w:r>
    </w:p>
    <w:p>
      <w:pPr>
        <w:pStyle w:val="ListParagraph"/>
        <w:keepNext/>
        <w:keepLines/>
        <w:numPr>
          <w:ilvl w:val="0"/>
          <w:numId w:val="2"/>
        </w:numPr>
        <w:bidi/>
        <w:spacing w:after="90" w:line="330"/>
        <w:jc w:val="both"/>
      </w:pPr>
      <w:r>
        <w:rPr>
          <w:rFonts w:ascii="Cairo" w:cs="Cairo" w:eastAsia="Cairo" w:hAnsi="Cairo"/>
          <w:b w:val="false"/>
          <w:bCs w:val="false"/>
          <w:color w:val="111815"/>
          <w:sz w:val="22"/>
          <w:szCs w:val="22"/>
          <w:rtl/>
        </w:rPr>
        <w:t xml:space="preserve">الاستضافة والمعالجة داخل المملكة العربية السعودية حصراً.</w:t>
      </w:r>
    </w:p>
    <w:p>
      <w:pPr>
        <w:pStyle w:val="ListParagraph"/>
        <w:keepNext w:val="false"/>
        <w:keepLines/>
        <w:numPr>
          <w:ilvl w:val="0"/>
          <w:numId w:val="2"/>
        </w:numPr>
        <w:bidi/>
        <w:spacing w:after="90" w:line="330"/>
        <w:jc w:val="both"/>
      </w:pPr>
      <w:r>
        <w:rPr>
          <w:rFonts w:ascii="Cairo" w:cs="Cairo" w:eastAsia="Cairo" w:hAnsi="Cairo"/>
          <w:b w:val="false"/>
          <w:bCs w:val="false"/>
          <w:color w:val="111815"/>
          <w:sz w:val="22"/>
          <w:szCs w:val="22"/>
          <w:rtl/>
        </w:rPr>
        <w:t xml:space="preserve">عدم إحلال المنصة محل الأنظمة المالية المصدر أو صلاحياتها النظامية.</w:t>
      </w:r>
    </w:p>
    <w:p>
      <w:pPr>
        <w:pStyle w:val="Heading1"/>
        <w:keepNext/>
        <w:keepLines/>
        <w:pageBreakBefore/>
        <w:bidi/>
        <w:spacing w:after="190" w:before="340"/>
      </w:pPr>
      <w:r>
        <w:rPr>
          <w:rFonts w:ascii="IBM Plex Sans Arabic" w:cs="IBM Plex Sans Arabic" w:eastAsia="IBM Plex Sans Arabic" w:hAnsi="IBM Plex Sans Arabic"/>
          <w:b/>
          <w:bCs/>
          <w:color w:val="0A3B27"/>
          <w:sz w:val="30"/>
          <w:szCs w:val="30"/>
          <w:rtl/>
        </w:rPr>
        <w:t xml:space="preserve">15. المخاطر وخطط التخفيف</w:t>
      </w:r>
    </w:p>
    <w:tbl>
      <w:tblPr>
        <w:bidiVisual/>
        <w:tblW w:type="dxa" w:w="9020"/>
        <w:tblBorders>
          <w:top w:val="single" w:color="D8E0DB" w:sz="4"/>
          <w:left w:val="single" w:color="D8E0DB" w:sz="4"/>
          <w:bottom w:val="single" w:color="D8E0DB" w:sz="4"/>
          <w:right w:val="single" w:color="D8E0DB" w:sz="4"/>
          <w:insideH w:val="single" w:color="D8E0DB" w:sz="4"/>
          <w:insideV w:val="single" w:color="D8E0DB" w:sz="4"/>
        </w:tblBorders>
      </w:tblPr>
      <w:tblGrid>
        <w:gridCol w:w="3300"/>
        <w:gridCol w:w="1400"/>
        <w:gridCol w:w="4320"/>
      </w:tblGrid>
      <w:tr>
        <w:trPr>
          <w:cantSplit/>
          <w:tblHeader/>
        </w:trPr>
        <w:tc>
          <w:tcPr>
            <w:tcW w:type="dxa" w:w="330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الخطر</w:t>
            </w:r>
          </w:p>
        </w:tc>
        <w:tc>
          <w:tcPr>
            <w:tcW w:type="dxa" w:w="140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الأثر</w:t>
            </w:r>
          </w:p>
        </w:tc>
        <w:tc>
          <w:tcPr>
            <w:tcW w:type="dxa" w:w="432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التخفيف</w:t>
            </w:r>
          </w:p>
        </w:tc>
      </w:tr>
      <w:tr>
        <w:trPr>
          <w:cantSplit/>
          <w:tblHeader w:val="false"/>
        </w:trPr>
        <w:tc>
          <w:tcPr>
            <w:tcW w:type="dxa" w:w="33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تأخر جاهزية التكاملات مع الأنظمة المصدر</w:t>
            </w:r>
          </w:p>
        </w:tc>
        <w:tc>
          <w:tcPr>
            <w:tcW w:type="dxa" w:w="14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مرتفع</w:t>
            </w:r>
          </w:p>
        </w:tc>
        <w:tc>
          <w:tcPr>
            <w:tcW w:type="dxa" w:w="43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بدء التكاملات بملفات معتمدة مؤقتاً، وتثبيت الواجهات في مرحلة التصميم</w:t>
            </w:r>
          </w:p>
        </w:tc>
      </w:tr>
      <w:tr>
        <w:trPr>
          <w:cantSplit/>
          <w:tblHeader w:val="false"/>
        </w:trPr>
        <w:tc>
          <w:tcPr>
            <w:tcW w:type="dxa" w:w="33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تغير متطلبات إكسبرو بين دورات التقييم</w:t>
            </w:r>
          </w:p>
        </w:tc>
        <w:tc>
          <w:tcPr>
            <w:tcW w:type="dxa" w:w="14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متوسط</w:t>
            </w:r>
          </w:p>
        </w:tc>
        <w:tc>
          <w:tcPr>
            <w:tcW w:type="dxa" w:w="43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بناء المعايير والقوالب كإعدادات قابلة للتحديث دون تطوير برمجي</w:t>
            </w:r>
          </w:p>
        </w:tc>
      </w:tr>
      <w:tr>
        <w:trPr>
          <w:cantSplit/>
          <w:tblHeader w:val="false"/>
        </w:trPr>
        <w:tc>
          <w:tcPr>
            <w:tcW w:type="dxa" w:w="33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ضعف تبني المستخدمين</w:t>
            </w:r>
          </w:p>
        </w:tc>
        <w:tc>
          <w:tcPr>
            <w:tcW w:type="dxa" w:w="14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مرتفع</w:t>
            </w:r>
          </w:p>
        </w:tc>
        <w:tc>
          <w:tcPr>
            <w:tcW w:type="dxa" w:w="43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خطة إدارة تغيير وتدريب، وإشراك ملاك الركائز من مرحلة التصميم</w:t>
            </w:r>
          </w:p>
        </w:tc>
      </w:tr>
      <w:tr>
        <w:trPr>
          <w:cantSplit/>
          <w:tblHeader w:val="false"/>
        </w:trPr>
        <w:tc>
          <w:tcPr>
            <w:tcW w:type="dxa" w:w="33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نقص البيانات التاريخية عند الإطلاق</w:t>
            </w:r>
          </w:p>
        </w:tc>
        <w:tc>
          <w:tcPr>
            <w:tcW w:type="dxa" w:w="14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متوسط</w:t>
            </w:r>
          </w:p>
        </w:tc>
        <w:tc>
          <w:tcPr>
            <w:tcW w:type="dxa" w:w="43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خطة تهيئة بيانات مرحلية تبدأ بالدورة الحالية وتستكمل رجعياً</w:t>
            </w:r>
          </w:p>
        </w:tc>
      </w:tr>
      <w:tr>
        <w:trPr>
          <w:cantSplit/>
          <w:tblHeader w:val="false"/>
        </w:trPr>
        <w:tc>
          <w:tcPr>
            <w:tcW w:type="dxa" w:w="330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تأخر الاعتماد الأمني قبل الإطلاق</w:t>
            </w:r>
          </w:p>
        </w:tc>
        <w:tc>
          <w:tcPr>
            <w:tcW w:type="dxa" w:w="140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متوسط</w:t>
            </w:r>
          </w:p>
        </w:tc>
        <w:tc>
          <w:tcPr>
            <w:tcW w:type="dxa" w:w="432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إشراك الأمن السيبراني مبكراً وتضمين متطلبات ECC في التصميم</w:t>
            </w:r>
          </w:p>
        </w:tc>
      </w:tr>
    </w:tbl>
    <w:p>
      <w:pPr>
        <w:pStyle w:val="Heading1"/>
        <w:keepNext/>
        <w:keepLines/>
        <w:pageBreakBefore/>
        <w:bidi/>
        <w:spacing w:after="190" w:before="340"/>
      </w:pPr>
      <w:r>
        <w:rPr>
          <w:rFonts w:ascii="IBM Plex Sans Arabic" w:cs="IBM Plex Sans Arabic" w:eastAsia="IBM Plex Sans Arabic" w:hAnsi="IBM Plex Sans Arabic"/>
          <w:b/>
          <w:bCs/>
          <w:color w:val="0A3B27"/>
          <w:sz w:val="30"/>
          <w:szCs w:val="30"/>
          <w:rtl/>
        </w:rPr>
        <w:t xml:space="preserve">16. معايير القبول</w:t>
      </w:r>
    </w:p>
    <w:p>
      <w:pPr>
        <w:pStyle w:val="ListParagraph"/>
        <w:keepNext/>
        <w:keepLines/>
        <w:numPr>
          <w:ilvl w:val="0"/>
          <w:numId w:val="2"/>
        </w:numPr>
        <w:bidi/>
        <w:spacing w:after="90" w:line="330"/>
        <w:jc w:val="both"/>
      </w:pPr>
      <w:r>
        <w:rPr>
          <w:rFonts w:ascii="Cairo" w:cs="Cairo" w:eastAsia="Cairo" w:hAnsi="Cairo"/>
          <w:b w:val="false"/>
          <w:bCs w:val="false"/>
          <w:color w:val="111815"/>
          <w:sz w:val="22"/>
          <w:szCs w:val="22"/>
          <w:rtl/>
        </w:rPr>
        <w:t xml:space="preserve">اجتياز سيناريوهات اختبار تغطي مسارات العمل العشرين كاملة بضوابطها وبواباتها.</w:t>
      </w:r>
    </w:p>
    <w:p>
      <w:pPr>
        <w:pStyle w:val="ListParagraph"/>
        <w:keepNext/>
        <w:keepLines/>
        <w:numPr>
          <w:ilvl w:val="0"/>
          <w:numId w:val="2"/>
        </w:numPr>
        <w:bidi/>
        <w:spacing w:after="90" w:line="330"/>
        <w:jc w:val="both"/>
      </w:pPr>
      <w:r>
        <w:rPr>
          <w:rFonts w:ascii="Cairo" w:cs="Cairo" w:eastAsia="Cairo" w:hAnsi="Cairo"/>
          <w:b w:val="false"/>
          <w:bCs w:val="false"/>
          <w:color w:val="111815"/>
          <w:sz w:val="22"/>
          <w:szCs w:val="22"/>
          <w:rtl/>
        </w:rPr>
        <w:t xml:space="preserve">ثنائية لغة مكتملة: لا نصوص متبقية بغير لغة الواجهة في أي شاشة أو تقرير أو رسالة.</w:t>
      </w:r>
    </w:p>
    <w:p>
      <w:pPr>
        <w:pStyle w:val="ListParagraph"/>
        <w:keepNext/>
        <w:keepLines/>
        <w:numPr>
          <w:ilvl w:val="0"/>
          <w:numId w:val="2"/>
        </w:numPr>
        <w:bidi/>
        <w:spacing w:after="90" w:line="330"/>
        <w:jc w:val="both"/>
      </w:pPr>
      <w:r>
        <w:rPr>
          <w:rFonts w:ascii="Cairo" w:cs="Cairo" w:eastAsia="Cairo" w:hAnsi="Cairo"/>
          <w:b w:val="false"/>
          <w:bCs w:val="false"/>
          <w:color w:val="111815"/>
          <w:sz w:val="22"/>
          <w:szCs w:val="22"/>
          <w:rtl/>
        </w:rPr>
        <w:t xml:space="preserve">خلو الإطلاق من أي أخطاء حرجة أو عالية، وتوثيق خطة معالجة لما دونهما.</w:t>
      </w:r>
    </w:p>
    <w:p>
      <w:pPr>
        <w:pStyle w:val="ListParagraph"/>
        <w:keepNext/>
        <w:keepLines/>
        <w:numPr>
          <w:ilvl w:val="0"/>
          <w:numId w:val="2"/>
        </w:numPr>
        <w:bidi/>
        <w:spacing w:after="90" w:line="330"/>
        <w:jc w:val="both"/>
      </w:pPr>
      <w:r>
        <w:rPr>
          <w:rFonts w:ascii="Cairo" w:cs="Cairo" w:eastAsia="Cairo" w:hAnsi="Cairo"/>
          <w:b w:val="false"/>
          <w:bCs w:val="false"/>
          <w:color w:val="111815"/>
          <w:sz w:val="22"/>
          <w:szCs w:val="22"/>
          <w:rtl/>
        </w:rPr>
        <w:t xml:space="preserve">مطابقة التقارير الأربعة للقوالب المعتمدة واعتماد مخرجاتها من قائد الفريق.</w:t>
      </w:r>
    </w:p>
    <w:p>
      <w:pPr>
        <w:pStyle w:val="ListParagraph"/>
        <w:keepNext/>
        <w:keepLines/>
        <w:numPr>
          <w:ilvl w:val="0"/>
          <w:numId w:val="2"/>
        </w:numPr>
        <w:bidi/>
        <w:spacing w:after="90" w:line="330"/>
        <w:jc w:val="both"/>
      </w:pPr>
      <w:r>
        <w:rPr>
          <w:rFonts w:ascii="Cairo" w:cs="Cairo" w:eastAsia="Cairo" w:hAnsi="Cairo"/>
          <w:b w:val="false"/>
          <w:bCs w:val="false"/>
          <w:color w:val="111815"/>
          <w:sz w:val="22"/>
          <w:szCs w:val="22"/>
          <w:rtl/>
        </w:rPr>
        <w:t xml:space="preserve">اجتياز الفحص الأمني ومتطلبات الاعتماد التقني لدى الهيئة.</w:t>
      </w:r>
    </w:p>
    <w:p>
      <w:pPr>
        <w:pStyle w:val="ListParagraph"/>
        <w:keepNext w:val="false"/>
        <w:keepLines/>
        <w:numPr>
          <w:ilvl w:val="0"/>
          <w:numId w:val="2"/>
        </w:numPr>
        <w:bidi/>
        <w:spacing w:after="90" w:line="330"/>
        <w:jc w:val="both"/>
      </w:pPr>
      <w:r>
        <w:rPr>
          <w:rFonts w:ascii="Cairo" w:cs="Cairo" w:eastAsia="Cairo" w:hAnsi="Cairo"/>
          <w:b w:val="false"/>
          <w:bCs w:val="false"/>
          <w:color w:val="111815"/>
          <w:sz w:val="22"/>
          <w:szCs w:val="22"/>
          <w:rtl/>
        </w:rPr>
        <w:t xml:space="preserve">إتمام التدريب ونقل المعرفة وتسليم الوثائق التشغيلية والفنية كاملة.</w:t>
      </w:r>
    </w:p>
    <w:p>
      <w:pPr>
        <w:pStyle w:val="Heading1"/>
        <w:keepNext/>
        <w:keepLines/>
        <w:pageBreakBefore/>
        <w:bidi/>
        <w:spacing w:after="190" w:before="340"/>
      </w:pPr>
      <w:r>
        <w:rPr>
          <w:rFonts w:ascii="IBM Plex Sans Arabic" w:cs="IBM Plex Sans Arabic" w:eastAsia="IBM Plex Sans Arabic" w:hAnsi="IBM Plex Sans Arabic"/>
          <w:b/>
          <w:bCs/>
          <w:color w:val="0A3B27"/>
          <w:sz w:val="30"/>
          <w:szCs w:val="30"/>
          <w:rtl/>
        </w:rPr>
        <w:t xml:space="preserve">ملحق أ. مسرد المصطلحات</w:t>
      </w:r>
    </w:p>
    <w:tbl>
      <w:tblPr>
        <w:bidiVisual/>
        <w:tblW w:type="dxa" w:w="9020"/>
        <w:tblBorders>
          <w:top w:val="single" w:color="D8E0DB" w:sz="4"/>
          <w:left w:val="single" w:color="D8E0DB" w:sz="4"/>
          <w:bottom w:val="single" w:color="D8E0DB" w:sz="4"/>
          <w:right w:val="single" w:color="D8E0DB" w:sz="4"/>
          <w:insideH w:val="single" w:color="D8E0DB" w:sz="4"/>
          <w:insideV w:val="single" w:color="D8E0DB" w:sz="4"/>
        </w:tblBorders>
      </w:tblPr>
      <w:tblGrid>
        <w:gridCol w:w="2700"/>
        <w:gridCol w:w="6320"/>
      </w:tblGrid>
      <w:tr>
        <w:trPr>
          <w:cantSplit/>
          <w:tblHeader/>
        </w:trPr>
        <w:tc>
          <w:tcPr>
            <w:tcW w:type="dxa" w:w="270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المصطلح</w:t>
            </w:r>
          </w:p>
        </w:tc>
        <w:tc>
          <w:tcPr>
            <w:tcW w:type="dxa" w:w="6320"/>
            <w:shd w:fill="098A4E" w:val="clear"/>
            <w:tcMar>
              <w:top w:type="dxa" w:w="90"/>
              <w:left w:type="dxa" w:w="130"/>
              <w:bottom w:type="dxa" w:w="90"/>
              <w:right w:type="dxa" w:w="13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التعريف</w:t>
            </w:r>
          </w:p>
        </w:tc>
      </w:tr>
      <w:tr>
        <w:trPr>
          <w:cantSplit/>
          <w:tblHeader w:val="false"/>
        </w:trPr>
        <w:tc>
          <w:tcPr>
            <w:tcW w:type="dxa" w:w="27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إكسبرو (EXPRO)</w:t>
            </w:r>
          </w:p>
        </w:tc>
        <w:tc>
          <w:tcPr>
            <w:tcW w:type="dxa" w:w="63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هيئة كفاءة الإنفاق والمشروعات الحكومية، الجهة المشرفة على برنامج الركائز</w:t>
            </w:r>
          </w:p>
        </w:tc>
      </w:tr>
      <w:tr>
        <w:trPr>
          <w:cantSplit/>
          <w:tblHeader w:val="false"/>
        </w:trPr>
        <w:tc>
          <w:tcPr>
            <w:tcW w:type="dxa" w:w="27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برنامج الركائز</w:t>
            </w:r>
          </w:p>
        </w:tc>
        <w:tc>
          <w:tcPr>
            <w:tcW w:type="dxa" w:w="63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برنامج ركائز استدامة كفاءة الإنفاق بسبع ركائز تقيس نضج الممارسات</w:t>
            </w:r>
          </w:p>
        </w:tc>
      </w:tr>
      <w:tr>
        <w:trPr>
          <w:cantSplit/>
          <w:tblHeader w:val="false"/>
        </w:trPr>
        <w:tc>
          <w:tcPr>
            <w:tcW w:type="dxa" w:w="27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«متميز»</w:t>
            </w:r>
          </w:p>
        </w:tc>
        <w:tc>
          <w:tcPr>
            <w:tcW w:type="dxa" w:w="63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أعلى درجات سلم النضج (4.5 فأكثر من 5)، وهي مستهدف الهيئة</w:t>
            </w:r>
          </w:p>
        </w:tc>
      </w:tr>
      <w:tr>
        <w:trPr>
          <w:cantSplit/>
          <w:tblHeader w:val="false"/>
        </w:trPr>
        <w:tc>
          <w:tcPr>
            <w:tcW w:type="dxa" w:w="27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التقييم الذاتي</w:t>
            </w:r>
          </w:p>
        </w:tc>
        <w:tc>
          <w:tcPr>
            <w:tcW w:type="dxa" w:w="63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تقييم الهيئة لمعاييرها داخلياً كل دورة</w:t>
            </w:r>
          </w:p>
        </w:tc>
      </w:tr>
      <w:tr>
        <w:trPr>
          <w:cantSplit/>
          <w:tblHeader w:val="false"/>
        </w:trPr>
        <w:tc>
          <w:tcPr>
            <w:tcW w:type="dxa" w:w="27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محاكاة التقييم المستقل</w:t>
            </w:r>
          </w:p>
        </w:tc>
        <w:tc>
          <w:tcPr>
            <w:tcW w:type="dxa" w:w="63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تقييم محايد يحاكي التقييم الخارجي ويكشف الفجوات قبله</w:t>
            </w:r>
          </w:p>
        </w:tc>
      </w:tr>
      <w:tr>
        <w:trPr>
          <w:cantSplit/>
          <w:tblHeader w:val="false"/>
        </w:trPr>
        <w:tc>
          <w:tcPr>
            <w:tcW w:type="dxa" w:w="27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لائحة التعقب</w:t>
            </w:r>
          </w:p>
        </w:tc>
        <w:tc>
          <w:tcPr>
            <w:tcW w:type="dxa" w:w="63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السجل المعتمد لتتبع طلبات التمويل عبر سلسلة المراجعة</w:t>
            </w:r>
          </w:p>
        </w:tc>
      </w:tr>
      <w:tr>
        <w:trPr>
          <w:cantSplit/>
          <w:tblHeader w:val="false"/>
        </w:trPr>
        <w:tc>
          <w:tcPr>
            <w:tcW w:type="dxa" w:w="27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الدراسات الخمس</w:t>
            </w:r>
          </w:p>
        </w:tc>
        <w:tc>
          <w:tcPr>
            <w:tcW w:type="dxa" w:w="63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النموذج الخماسي للجدوى: استراتيجية، اقتصادية، تجارية، مالية، إدارية</w:t>
            </w:r>
          </w:p>
        </w:tc>
      </w:tr>
      <w:tr>
        <w:trPr>
          <w:cantSplit/>
          <w:tblHeader w:val="false"/>
        </w:trPr>
        <w:tc>
          <w:tcPr>
            <w:tcW w:type="dxa" w:w="27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دراسة السعة والطلب</w:t>
            </w:r>
          </w:p>
        </w:tc>
        <w:tc>
          <w:tcPr>
            <w:tcW w:type="dxa" w:w="63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دراسة بمنهجية الخطوات السبع تتحقق من الحاجة الفعلية قبل التمويل</w:t>
            </w:r>
          </w:p>
        </w:tc>
      </w:tr>
      <w:tr>
        <w:trPr>
          <w:cantSplit/>
          <w:tblHeader w:val="false"/>
        </w:trPr>
        <w:tc>
          <w:tcPr>
            <w:tcW w:type="dxa" w:w="27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بطاقة الفرصة</w:t>
            </w:r>
          </w:p>
        </w:tc>
        <w:tc>
          <w:tcPr>
            <w:tcW w:type="dxa" w:w="63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نقطة دخول المبادرة: توصيف الفرصة ومصدر الهدر والأثر المقدر</w:t>
            </w:r>
          </w:p>
        </w:tc>
      </w:tr>
      <w:tr>
        <w:trPr>
          <w:cantSplit/>
          <w:tblHeader w:val="false"/>
        </w:trPr>
        <w:tc>
          <w:tcPr>
            <w:tcW w:type="dxa" w:w="27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التحقق المالي</w:t>
            </w:r>
          </w:p>
        </w:tc>
        <w:tc>
          <w:tcPr>
            <w:tcW w:type="dxa" w:w="63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اعتماد الشؤون المالية لخط الأساس وطريقة احتساب الأثر</w:t>
            </w:r>
          </w:p>
        </w:tc>
      </w:tr>
      <w:tr>
        <w:trPr>
          <w:cantSplit/>
          <w:tblHeader w:val="false"/>
        </w:trPr>
        <w:tc>
          <w:tcPr>
            <w:tcW w:type="dxa" w:w="270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الهندسة القيمية</w:t>
            </w:r>
          </w:p>
        </w:tc>
        <w:tc>
          <w:tcPr>
            <w:tcW w:type="dxa" w:w="6320"/>
            <w:tcMar>
              <w:top w:type="dxa" w:w="90"/>
              <w:left w:type="dxa" w:w="130"/>
              <w:bottom w:type="dxa" w:w="90"/>
              <w:right w:type="dxa" w:w="130"/>
            </w:tcMar>
            <w:vAlign w:val="center"/>
          </w:tcPr>
          <w:p>
            <w:pPr>
              <w:keepNext/>
              <w:keepLines/>
              <w:bidi/>
              <w:spacing w:after="40" w:line="300"/>
              <w:jc w:val="right"/>
            </w:pPr>
            <w:r>
              <w:rPr>
                <w:rFonts w:ascii="Cairo" w:cs="Cairo" w:eastAsia="Cairo" w:hAnsi="Cairo"/>
                <w:b w:val="false"/>
                <w:bCs w:val="false"/>
                <w:color w:val="111815"/>
                <w:sz w:val="20"/>
                <w:szCs w:val="20"/>
                <w:rtl/>
              </w:rPr>
              <w:t xml:space="preserve">منهجية SAVE بمراحل العمل الثماني لتعظيم القيمة وخفض الكلفة</w:t>
            </w:r>
          </w:p>
        </w:tc>
      </w:tr>
      <w:tr>
        <w:trPr>
          <w:cantSplit/>
          <w:tblHeader w:val="false"/>
        </w:trPr>
        <w:tc>
          <w:tcPr>
            <w:tcW w:type="dxa" w:w="270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ECC / PDPL</w:t>
            </w:r>
          </w:p>
        </w:tc>
        <w:tc>
          <w:tcPr>
            <w:tcW w:type="dxa" w:w="6320"/>
            <w:tcMar>
              <w:top w:type="dxa" w:w="90"/>
              <w:left w:type="dxa" w:w="130"/>
              <w:bottom w:type="dxa" w:w="90"/>
              <w:right w:type="dxa" w:w="13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الضوابط الأساسية للأمن السيبراني، ونظام حماية البيانات الشخصية السعودي</w:t>
            </w:r>
          </w:p>
        </w:tc>
      </w:tr>
    </w:tbl>
    <w:sectPr>
      <w:headerReference w:type="default" r:id="rId7"/>
      <w:headerReference w:type="first" r:id="rId8"/>
      <w:footerReference w:type="default" r:id="rId9"/>
      <w:footerReference w:type="first" r:id="rId10"/>
      <w:pgSz w:w="11906" w:h="16838" w:orient="portrait"/>
      <w:pgMar w:top="1360" w:right="1400" w:bottom="1300" w:left="14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0DB" w:sz="4" w:space="6"/>
      </w:pBdr>
      <w:bidi/>
      <w:spacing w:before="0"/>
      <w:jc w:val="center"/>
    </w:pPr>
    <w:r>
      <w:rPr>
        <w:rFonts w:ascii="Cairo" w:cs="Cairo" w:eastAsia="Cairo" w:hAnsi="Cairo"/>
        <w:b w:val="false"/>
        <w:bCs w:val="false"/>
        <w:color w:val="5C6E63"/>
        <w:sz w:val="16"/>
        <w:szCs w:val="16"/>
        <w:rtl/>
      </w:rPr>
      <w:t xml:space="preserve">خاص — للاستخدام الداخلي</w:t>
    </w:r>
    <w:r>
      <w:rPr>
        <w:rFonts w:ascii="Cairo" w:cs="Cairo" w:eastAsia="Cairo" w:hAnsi="Cairo"/>
        <w:sz w:val="16"/>
        <w:szCs w:val="16"/>
      </w:rPr>
      <w:t xml:space="preserve">      </w:t>
    </w:r>
    <w:r>
      <w:rPr>
        <w:rFonts w:ascii="Cairo" w:cs="Cairo" w:eastAsia="Cairo" w:hAnsi="Cairo"/>
        <w:b w:val="false"/>
        <w:bCs w:val="false"/>
        <w:color w:val="5C6E63"/>
        <w:sz w:val="16"/>
        <w:szCs w:val="16"/>
        <w:rtl/>
      </w:rPr>
      <w:t xml:space="preserve">الصفحة </w:t>
    </w:r>
    <w:r>
      <w:rPr>
        <w:rFonts w:ascii="Cairo" w:cs="Cairo" w:eastAsia="Cairo" w:hAnsi="Cairo"/>
        <w:color w:val="5C6E63"/>
        <w:sz w:val="16"/>
        <w:szCs w:val="16"/>
        <w:rtl/>
      </w:rPr>
      <w:fldChar w:fldCharType="begin"/>
      <w:instrText xml:space="preserve">PAGE</w:instrText>
      <w:fldChar w:fldCharType="separate"/>
      <w:fldChar w:fldCharType="end"/>
    </w:r>
    <w:r>
      <w:rPr>
        <w:rFonts w:ascii="Cairo" w:cs="Cairo" w:eastAsia="Cairo" w:hAnsi="Cairo"/>
        <w:b w:val="false"/>
        <w:bCs w:val="false"/>
        <w:color w:val="5C6E63"/>
        <w:sz w:val="16"/>
        <w:szCs w:val="16"/>
        <w:rtl/>
      </w:rPr>
      <w:t xml:space="preserve"> من </w:t>
    </w:r>
    <w:r>
      <w:rPr>
        <w:rFonts w:ascii="Cairo" w:cs="Cairo" w:eastAsia="Cairo" w:hAnsi="Cairo"/>
        <w:color w:val="5C6E63"/>
        <w:sz w:val="16"/>
        <w:szCs w:val="16"/>
        <w:rtl/>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DB" w:sz="4" w:space="6"/>
      </w:pBdr>
      <w:bidi/>
      <w:spacing w:after="0"/>
      <w:jc w:val="center"/>
    </w:pPr>
    <w:r>
      <w:rPr>
        <w:rFonts w:ascii="Cairo" w:cs="Cairo" w:eastAsia="Cairo" w:hAnsi="Cairo"/>
        <w:b w:val="false"/>
        <w:bCs w:val="false"/>
        <w:color w:val="5C6E63"/>
        <w:sz w:val="17"/>
        <w:szCs w:val="17"/>
        <w:rtl/>
      </w:rPr>
      <w:t xml:space="preserve">وثيقة متطلبات الأعمال — منصة استدامة كفاءة الإنفاق</w:t>
    </w:r>
    <w:r>
      <w:rPr>
        <w:rFonts w:ascii="Cairo" w:cs="Cairo" w:eastAsia="Cairo" w:hAnsi="Cairo"/>
        <w:color w:val="5C6E63"/>
        <w:sz w:val="17"/>
        <w:szCs w:val="17"/>
      </w:rPr>
      <w:t xml:space="preserve">   ·   </w:t>
    </w:r>
    <w:r>
      <w:rPr>
        <w:rFonts w:ascii="Cairo" w:cs="Cairo" w:eastAsia="Cairo" w:hAnsi="Cairo"/>
        <w:b w:val="false"/>
        <w:bCs w:val="false"/>
        <w:color w:val="5C6E63"/>
        <w:sz w:val="17"/>
        <w:szCs w:val="17"/>
        <w:rtl/>
      </w:rPr>
      <w:t xml:space="preserve">الهيئة الملكية لمدينة الرياض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iro" w:cs="Cairo" w:eastAsia="Cairo" w:hAnsi="Cairo"/>
        <w:color w:val="11181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0c22bb56d4f94cd39db87f5f84d2bd672a4a3c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2026-08-13T06:56:32.117Z</dcterms:created>
  <dcterms:modified xsi:type="dcterms:W3CDTF">2026-08-13T06:56:32.118Z</dcterms:modified>
</cp:coreProperties>
</file>

<file path=docProps/custom.xml><?xml version="1.0" encoding="utf-8"?>
<Properties xmlns="http://schemas.openxmlformats.org/officeDocument/2006/custom-properties" xmlns:vt="http://schemas.openxmlformats.org/officeDocument/2006/docPropsVTypes"/>
</file>