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Estudo de caso - Sistema para locadora de veículos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objetivo deste estudo de caso é construir um modelo ER para o BD de uma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empresa de locação de veículos. 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empresa em questão aluga automóveis,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camionetas de passageiros e camionetas de carga.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Ela atende a dois mercados, o das pessoas físicas e o das pessoas jurídicas. Para acelerar o atendimento, é importante conhecer os dados de clientes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que já tenham usado 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locadora no passado. Para cada pessoa física é necessário conhecer seu nome, sexo, data de nascimento, endereço e CIC. Já para 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pessoas jurídicas é necessário conhecer seu nome, CGC, inscrição estadual 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endereço. Os clientes são identificados por um código interno a locadora.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empresa tem uma grande rede de filiais, espalhada pelo sul do país.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Em um momento no tempo, um veículo encontra-se sob responsabilidade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uma filial. Entretanto, como veículos podem ser alugados para viagens 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um sentido somente, eles podem mudar de filial. Um veículo é identificado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pela sua placa. Além disso, é necessário conhecer o número do chassis, o número do motor, o tipo de veículo e a cor de cada veículo.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 sistema em computador deverá registrar: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os veículos disponíveis em determinada filial na data corrente,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b)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as reservas para veículos em uma filial, com previsão de que veículos estarão disponíveis em uma data futura,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c)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os veículos presentemente alugados pela filial, o ponto de entrega (caso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seja diferente do de locação) e data de entrega prevista.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monospace" w:cs="monospace"/>
          <w:sz w:val="22"/>
          <w:szCs w:val="22"/>
        </w:rPr>
      </w:pPr>
      <w:r>
        <w:rPr>
          <w:rFonts w:hint="default" w:ascii="monospace" w:hAnsi="monospace" w:eastAsia="monospace" w:cs="monospace"/>
          <w:kern w:val="0"/>
          <w:sz w:val="22"/>
          <w:szCs w:val="22"/>
          <w:lang w:val="en-US" w:eastAsia="zh-CN" w:bidi="ar"/>
        </w:rPr>
        <w:t>_x0019__x0012_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Os veículos são classificados por uma tabela de tipos. Por exemplo, corresponde a automóveis pequenos, de quatro portas e com ar-condicionado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(Uno, Palio, etc.) e G4 a grandes automóveis de luxo (Omega ou similar). As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reservas não são feitas para uma marca ou modelo de veículo, mas para um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tipo de veículo.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tipos de automóveis, os clientes desejam saber 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tamanho, classificado em pequeno, médio e grande, o número de passageiros, o número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portas, bem como se possui os seguintes acessórios: ar-condicionado, rádio,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toca-fitas, CD, direção hidráulica e câmbio automático. Para tipos de camionetas de passageiros, as informações são as mesmas que para automóveis. Já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tipos de camionetas de carga, as informações acima não são relevantes.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Neste caso, os clientes desejam saber a capacidade de carga da camioneta.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Para cada tipo de veículo, há um determinado número de horas necessário para limpeza e revisão de entrega, entre uma reserva e outra.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Além disso, o sistema deve programar as revisões dos veículos, impedindo que sejam reservados quando há revisões pendentes. Esta programação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é feita com base em um conjunto de parâmetros que são a quilometragem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atual do veículo, a quilometragem média diária de um veículo do tipo, bem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como em uma tabela de revisões do tipo de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veículo.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sz w:val="30"/>
          <w:szCs w:val="30"/>
        </w:rPr>
      </w:pP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A seguradora que segura os veículos, exige que, para cada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veículo alugado, seja mantida a identificação do motorista, o número de sua habilitação e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data de vencimento da mesma. A habilitação não pode vencer dentro do</w:t>
      </w:r>
      <w:r>
        <w:rPr>
          <w:rFonts w:hint="default" w:ascii="serif" w:hAnsi="serif" w:eastAsia="serif" w:cs="serif"/>
          <w:kern w:val="0"/>
          <w:sz w:val="30"/>
          <w:szCs w:val="30"/>
          <w:lang w:eastAsia="zh-CN" w:bidi="ar"/>
        </w:rPr>
        <w:t xml:space="preserve"> </w:t>
      </w:r>
      <w:bookmarkStart w:id="0" w:name="_GoBack"/>
      <w:bookmarkEnd w:id="0"/>
      <w:r>
        <w:rPr>
          <w:rFonts w:hint="default" w:ascii="serif" w:hAnsi="serif" w:eastAsia="serif" w:cs="serif"/>
          <w:kern w:val="0"/>
          <w:sz w:val="30"/>
          <w:szCs w:val="30"/>
          <w:lang w:val="en-US" w:eastAsia="zh-CN" w:bidi="ar"/>
        </w:rPr>
        <w:t>prazo da locação.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C2715"/>
    <w:rsid w:val="5FFC27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2018-06-11T17:54:00Z</dcterms:created>
  <dc:creator>sqest019</dc:creator>
  <cp:lastModifiedBy>sqest019</cp:lastModifiedBy>
  <dcterms:modified xsi:type="dcterms:W3CDTF">2018-06-11T18:12:07Z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