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857DF" w14:textId="77777777" w:rsidR="001D5BF7" w:rsidRPr="009B19EA" w:rsidRDefault="001D5BF7" w:rsidP="009B19EA">
      <w:pPr>
        <w:jc w:val="both"/>
        <w:rPr>
          <w:rFonts w:cs="Times New Roman"/>
          <w:b/>
          <w:szCs w:val="24"/>
        </w:rPr>
      </w:pPr>
    </w:p>
    <w:p w14:paraId="048CFF69" w14:textId="77777777" w:rsidR="001D5BF7" w:rsidRPr="009B19EA" w:rsidRDefault="001D5BF7" w:rsidP="009B19EA">
      <w:pPr>
        <w:jc w:val="both"/>
        <w:rPr>
          <w:rFonts w:cs="Times New Roman"/>
          <w:b/>
          <w:szCs w:val="24"/>
        </w:rPr>
      </w:pPr>
    </w:p>
    <w:p w14:paraId="190F8DC1" w14:textId="77777777" w:rsidR="001D5BF7" w:rsidRPr="009B19EA" w:rsidRDefault="001D5BF7" w:rsidP="009B19EA">
      <w:pPr>
        <w:jc w:val="both"/>
        <w:rPr>
          <w:rFonts w:cs="Times New Roman"/>
          <w:b/>
          <w:szCs w:val="24"/>
        </w:rPr>
      </w:pPr>
    </w:p>
    <w:p w14:paraId="0591E358" w14:textId="77777777" w:rsidR="001D5BF7" w:rsidRPr="009B19EA" w:rsidRDefault="001D5BF7" w:rsidP="009B19EA">
      <w:pPr>
        <w:jc w:val="both"/>
        <w:rPr>
          <w:rFonts w:cs="Times New Roman"/>
          <w:b/>
          <w:szCs w:val="24"/>
        </w:rPr>
      </w:pPr>
    </w:p>
    <w:p w14:paraId="3EE05BFD" w14:textId="77777777" w:rsidR="001D5BF7" w:rsidRPr="009B19EA" w:rsidRDefault="001D5BF7" w:rsidP="009B19EA">
      <w:pPr>
        <w:jc w:val="both"/>
        <w:rPr>
          <w:rFonts w:cs="Times New Roman"/>
          <w:b/>
          <w:szCs w:val="24"/>
        </w:rPr>
      </w:pPr>
    </w:p>
    <w:p w14:paraId="6AD78D72" w14:textId="77777777" w:rsidR="001D5BF7" w:rsidRPr="009B19EA" w:rsidRDefault="001D5BF7" w:rsidP="009B19EA">
      <w:pPr>
        <w:jc w:val="both"/>
        <w:rPr>
          <w:rFonts w:cs="Times New Roman"/>
          <w:b/>
          <w:szCs w:val="24"/>
        </w:rPr>
      </w:pPr>
    </w:p>
    <w:p w14:paraId="2567367F" w14:textId="77777777" w:rsidR="001D5BF7" w:rsidRPr="009B19EA" w:rsidRDefault="001D5BF7" w:rsidP="009B19EA">
      <w:pPr>
        <w:jc w:val="both"/>
        <w:rPr>
          <w:rFonts w:cs="Times New Roman"/>
          <w:b/>
          <w:szCs w:val="24"/>
        </w:rPr>
      </w:pPr>
    </w:p>
    <w:p w14:paraId="15B1E54F" w14:textId="77777777" w:rsidR="001D5BF7" w:rsidRPr="009B19EA" w:rsidRDefault="001D5BF7" w:rsidP="009B19EA">
      <w:pPr>
        <w:jc w:val="both"/>
        <w:rPr>
          <w:rFonts w:cs="Times New Roman"/>
          <w:b/>
          <w:szCs w:val="24"/>
        </w:rPr>
      </w:pPr>
    </w:p>
    <w:p w14:paraId="1544A7A3" w14:textId="13DF55B9" w:rsidR="006F2E0E" w:rsidRPr="009B19EA" w:rsidRDefault="00000000" w:rsidP="00AA7E6B">
      <w:pPr>
        <w:jc w:val="center"/>
        <w:rPr>
          <w:rFonts w:cs="Times New Roman"/>
          <w:szCs w:val="24"/>
        </w:rPr>
      </w:pPr>
      <w:r w:rsidRPr="009B19EA">
        <w:rPr>
          <w:rFonts w:cs="Times New Roman"/>
          <w:b/>
          <w:szCs w:val="24"/>
        </w:rPr>
        <w:t>A Predictive Analysis of Type 2 Diabetes Risk Based on Demographic and Lifestyle Factors</w:t>
      </w:r>
    </w:p>
    <w:p w14:paraId="05DFDEF3" w14:textId="77777777" w:rsidR="006F2E0E" w:rsidRPr="009B19EA" w:rsidRDefault="006F2E0E" w:rsidP="00AA7E6B">
      <w:pPr>
        <w:jc w:val="center"/>
        <w:rPr>
          <w:rFonts w:cs="Times New Roman"/>
          <w:szCs w:val="24"/>
        </w:rPr>
      </w:pPr>
    </w:p>
    <w:p w14:paraId="7878D5BC" w14:textId="77777777" w:rsidR="006F2E0E" w:rsidRPr="009B19EA" w:rsidRDefault="00000000" w:rsidP="00AA7E6B">
      <w:pPr>
        <w:jc w:val="center"/>
        <w:rPr>
          <w:rFonts w:cs="Times New Roman"/>
          <w:szCs w:val="24"/>
        </w:rPr>
      </w:pPr>
      <w:r w:rsidRPr="009B19EA">
        <w:rPr>
          <w:rFonts w:cs="Times New Roman"/>
          <w:szCs w:val="24"/>
        </w:rPr>
        <w:t>Dong Lee and David Wederstrandt</w:t>
      </w:r>
    </w:p>
    <w:p w14:paraId="4EAC75BF" w14:textId="77777777" w:rsidR="006F2E0E" w:rsidRPr="009B19EA" w:rsidRDefault="00000000" w:rsidP="00AA7E6B">
      <w:pPr>
        <w:jc w:val="center"/>
        <w:rPr>
          <w:rFonts w:cs="Times New Roman"/>
          <w:szCs w:val="24"/>
        </w:rPr>
      </w:pPr>
      <w:r w:rsidRPr="009B19EA">
        <w:rPr>
          <w:rFonts w:cs="Times New Roman"/>
          <w:szCs w:val="24"/>
        </w:rPr>
        <w:t>Bellevue University</w:t>
      </w:r>
    </w:p>
    <w:p w14:paraId="492E022B" w14:textId="77777777" w:rsidR="006F2E0E" w:rsidRPr="009B19EA" w:rsidRDefault="00000000" w:rsidP="00AA7E6B">
      <w:pPr>
        <w:jc w:val="center"/>
        <w:rPr>
          <w:rFonts w:cs="Times New Roman"/>
          <w:szCs w:val="24"/>
        </w:rPr>
      </w:pPr>
      <w:r w:rsidRPr="009B19EA">
        <w:rPr>
          <w:rFonts w:cs="Times New Roman"/>
          <w:szCs w:val="24"/>
        </w:rPr>
        <w:t>DSC630 Predictive Analytics</w:t>
      </w:r>
    </w:p>
    <w:p w14:paraId="0516070A" w14:textId="77777777" w:rsidR="006F2E0E" w:rsidRPr="009B19EA" w:rsidRDefault="00000000" w:rsidP="00AA7E6B">
      <w:pPr>
        <w:jc w:val="center"/>
        <w:rPr>
          <w:rFonts w:cs="Times New Roman"/>
          <w:szCs w:val="24"/>
        </w:rPr>
      </w:pPr>
      <w:r w:rsidRPr="009B19EA">
        <w:rPr>
          <w:rFonts w:cs="Times New Roman"/>
          <w:szCs w:val="24"/>
        </w:rPr>
        <w:t>Professor Frank Neugebauer</w:t>
      </w:r>
    </w:p>
    <w:p w14:paraId="3918AED3" w14:textId="11A08CF3" w:rsidR="006F2E0E" w:rsidRPr="009B19EA" w:rsidRDefault="009B19EA" w:rsidP="00AA7E6B">
      <w:pPr>
        <w:jc w:val="center"/>
        <w:rPr>
          <w:rFonts w:cs="Times New Roman"/>
          <w:szCs w:val="24"/>
        </w:rPr>
      </w:pPr>
      <w:r w:rsidRPr="009B19EA">
        <w:rPr>
          <w:rFonts w:eastAsia="Malgun Gothic" w:cs="Times New Roman"/>
          <w:szCs w:val="24"/>
          <w:lang w:eastAsia="ko-KR"/>
        </w:rPr>
        <w:t>March</w:t>
      </w:r>
      <w:r w:rsidRPr="009B19EA">
        <w:rPr>
          <w:rFonts w:cs="Times New Roman"/>
          <w:szCs w:val="24"/>
        </w:rPr>
        <w:t xml:space="preserve"> </w:t>
      </w:r>
      <w:r w:rsidRPr="009B19EA">
        <w:rPr>
          <w:rFonts w:eastAsia="Malgun Gothic" w:cs="Times New Roman"/>
          <w:szCs w:val="24"/>
          <w:lang w:eastAsia="ko-KR"/>
        </w:rPr>
        <w:t>8</w:t>
      </w:r>
      <w:r w:rsidRPr="009B19EA">
        <w:rPr>
          <w:rFonts w:cs="Times New Roman"/>
          <w:szCs w:val="24"/>
        </w:rPr>
        <w:t>, 2026</w:t>
      </w:r>
    </w:p>
    <w:p w14:paraId="02F7A43B" w14:textId="77777777" w:rsidR="006F2E0E" w:rsidRPr="009B19EA" w:rsidRDefault="00000000" w:rsidP="009B19EA">
      <w:pPr>
        <w:jc w:val="both"/>
        <w:rPr>
          <w:rFonts w:cs="Times New Roman"/>
          <w:szCs w:val="24"/>
        </w:rPr>
      </w:pPr>
      <w:r w:rsidRPr="009B19EA">
        <w:rPr>
          <w:rFonts w:cs="Times New Roman"/>
          <w:szCs w:val="24"/>
        </w:rPr>
        <w:br w:type="page"/>
      </w:r>
    </w:p>
    <w:p w14:paraId="3DED51C7" w14:textId="558D20A5" w:rsidR="003B2D7E" w:rsidRPr="009B19EA" w:rsidRDefault="006453D3" w:rsidP="009B19EA">
      <w:pPr>
        <w:pStyle w:val="Heading1"/>
        <w:jc w:val="center"/>
        <w:rPr>
          <w:rFonts w:ascii="Times New Roman" w:eastAsia="Malgun Gothic" w:hAnsi="Times New Roman" w:cs="Times New Roman"/>
          <w:sz w:val="24"/>
          <w:szCs w:val="24"/>
          <w:lang w:eastAsia="ko-KR"/>
        </w:rPr>
      </w:pPr>
      <w:r w:rsidRPr="009B19EA">
        <w:rPr>
          <w:rFonts w:ascii="Times New Roman" w:hAnsi="Times New Roman" w:cs="Times New Roman"/>
          <w:sz w:val="24"/>
          <w:szCs w:val="24"/>
        </w:rPr>
        <w:lastRenderedPageBreak/>
        <w:t>Introduction</w:t>
      </w:r>
    </w:p>
    <w:p w14:paraId="23CAA4BE" w14:textId="45E0B4FE" w:rsidR="003B2D7E" w:rsidRPr="009B19EA" w:rsidRDefault="006453D3" w:rsidP="009B19EA">
      <w:pPr>
        <w:ind w:firstLine="720"/>
        <w:jc w:val="both"/>
        <w:rPr>
          <w:rFonts w:eastAsia="Malgun Gothic" w:cs="Times New Roman"/>
          <w:szCs w:val="24"/>
          <w:lang w:eastAsia="ko-KR"/>
        </w:rPr>
      </w:pPr>
      <w:r w:rsidRPr="009B19EA">
        <w:rPr>
          <w:rFonts w:cs="Times New Roman"/>
          <w:szCs w:val="24"/>
        </w:rPr>
        <w:t xml:space="preserve">Type 2 diabetes continues to expand as a global public health and health system challenge, with implications for premature </w:t>
      </w:r>
      <w:r w:rsidR="00BC0986" w:rsidRPr="009B19EA">
        <w:rPr>
          <w:rFonts w:eastAsia="Malgun Gothic" w:cs="Times New Roman"/>
          <w:szCs w:val="24"/>
          <w:lang w:eastAsia="ko-KR"/>
        </w:rPr>
        <w:t>mortality</w:t>
      </w:r>
      <w:r w:rsidRPr="009B19EA">
        <w:rPr>
          <w:rFonts w:cs="Times New Roman"/>
          <w:szCs w:val="24"/>
        </w:rPr>
        <w:t>, disability burden, long-term ca</w:t>
      </w:r>
      <w:r w:rsidR="00BC0986" w:rsidRPr="009B19EA">
        <w:rPr>
          <w:rFonts w:eastAsia="Malgun Gothic" w:cs="Times New Roman"/>
          <w:szCs w:val="24"/>
          <w:lang w:eastAsia="ko-KR"/>
        </w:rPr>
        <w:t>re</w:t>
      </w:r>
      <w:r w:rsidRPr="009B19EA">
        <w:rPr>
          <w:rFonts w:cs="Times New Roman"/>
          <w:szCs w:val="24"/>
        </w:rPr>
        <w:t xml:space="preserve"> needs, and household financial stress. The practical challenge for predictive analytics is not simply to classify disease status with high mathematical accuracy, but to identify actionable risk patterns early enough for prevention-oriented intervention. In this project, predictive modeling is used as a translational tool to connect measurable patient characteristics to operational screening decisions in realistic healthcare settings.</w:t>
      </w:r>
      <w:r w:rsidR="007223B6" w:rsidRPr="009B19EA">
        <w:rPr>
          <w:rFonts w:eastAsia="Malgun Gothic" w:cs="Times New Roman"/>
          <w:szCs w:val="24"/>
          <w:lang w:eastAsia="ko-KR"/>
        </w:rPr>
        <w:t xml:space="preserve"> </w:t>
      </w:r>
      <w:r w:rsidR="007223B6" w:rsidRPr="009B19EA">
        <w:rPr>
          <w:rFonts w:cs="Times New Roman"/>
          <w:szCs w:val="24"/>
        </w:rPr>
        <w:t>The motivation for this final analysis is rooted in prevention framing. If risk can be recognized before progression to severe metabolic disease, then low-cost intervention can be targeted early with greater success.</w:t>
      </w:r>
    </w:p>
    <w:p w14:paraId="3C3758F1" w14:textId="588C5BC0" w:rsidR="003B2D7E" w:rsidRPr="009B19EA" w:rsidRDefault="006453D3" w:rsidP="009B19EA">
      <w:pPr>
        <w:ind w:firstLine="720"/>
        <w:jc w:val="both"/>
        <w:rPr>
          <w:rFonts w:eastAsia="Malgun Gothic" w:cs="Times New Roman"/>
          <w:szCs w:val="24"/>
          <w:lang w:eastAsia="ko-KR"/>
        </w:rPr>
      </w:pPr>
      <w:r w:rsidRPr="009B19EA">
        <w:rPr>
          <w:rFonts w:cs="Times New Roman"/>
          <w:szCs w:val="24"/>
        </w:rPr>
        <w:t xml:space="preserve">The notebook’s milestone </w:t>
      </w:r>
      <w:r w:rsidR="007223B6" w:rsidRPr="009B19EA">
        <w:rPr>
          <w:rFonts w:eastAsia="Malgun Gothic" w:cs="Times New Roman"/>
          <w:szCs w:val="24"/>
          <w:lang w:eastAsia="ko-KR"/>
        </w:rPr>
        <w:t>progression</w:t>
      </w:r>
      <w:r w:rsidRPr="009B19EA">
        <w:rPr>
          <w:rFonts w:cs="Times New Roman"/>
          <w:szCs w:val="24"/>
        </w:rPr>
        <w:t xml:space="preserve"> was consolidated here into one coherent narrative that emphasizes methodology, comparability, and practical interpretation. Rather than treating model outputs as isolated statistics, this paper interprets them as decision signals that affect how health providers allocate limited resources, design outreach protocols, and tolerate false positives and false negatives.</w:t>
      </w:r>
      <w:r w:rsidR="007223B6" w:rsidRPr="009B19EA">
        <w:rPr>
          <w:rFonts w:eastAsia="Malgun Gothic" w:cs="Times New Roman"/>
          <w:szCs w:val="24"/>
          <w:lang w:eastAsia="ko-KR"/>
        </w:rPr>
        <w:t xml:space="preserve"> </w:t>
      </w:r>
      <w:r w:rsidRPr="009B19EA">
        <w:rPr>
          <w:rFonts w:cs="Times New Roman"/>
          <w:szCs w:val="24"/>
        </w:rPr>
        <w:t xml:space="preserve">This study centers on one primary research question: whether demographic factors versus lifestyle factors contribute more strongly to type 2 diabetes risk in the available population-level data. Additional questions examined which specific variables are the strongest predictors, whether social and structural factors such as employment and income are materially informative, and whether unsupervised learning can identify distinct behavioral risk profiles without relying on direct diagnostic blood markers. </w:t>
      </w:r>
      <w:r w:rsidR="007223B6" w:rsidRPr="009B19EA">
        <w:rPr>
          <w:rFonts w:eastAsia="Malgun Gothic" w:cs="Times New Roman"/>
          <w:szCs w:val="24"/>
          <w:lang w:eastAsia="ko-KR"/>
        </w:rPr>
        <w:t>T</w:t>
      </w:r>
      <w:r w:rsidRPr="009B19EA">
        <w:rPr>
          <w:rFonts w:cs="Times New Roman"/>
          <w:szCs w:val="24"/>
        </w:rPr>
        <w:t xml:space="preserve">ogether, these questions support a layered view of risk, where structural context, behavior, and clinical physiology interact rather than operate independently. </w:t>
      </w:r>
    </w:p>
    <w:p w14:paraId="654C1574" w14:textId="1BA8A8AC" w:rsidR="003B2D7E" w:rsidRPr="009B19EA" w:rsidRDefault="006453D3" w:rsidP="009B19EA">
      <w:pPr>
        <w:ind w:firstLine="720"/>
        <w:jc w:val="both"/>
        <w:rPr>
          <w:rFonts w:eastAsia="Malgun Gothic" w:cs="Times New Roman"/>
          <w:szCs w:val="24"/>
          <w:lang w:eastAsia="ko-KR"/>
        </w:rPr>
      </w:pPr>
      <w:r w:rsidRPr="009B19EA">
        <w:rPr>
          <w:rFonts w:cs="Times New Roman"/>
          <w:szCs w:val="24"/>
        </w:rPr>
        <w:lastRenderedPageBreak/>
        <w:t>A second motivation is methodological: many student projects stop at baseline model performance, but real deployment requires comparing models with different inductive assumptions and calibrating decision thresholds to context. Accordingly, this paper compares a linear base</w:t>
      </w:r>
      <w:r w:rsidR="007223B6" w:rsidRPr="009B19EA">
        <w:rPr>
          <w:rFonts w:eastAsia="Malgun Gothic" w:cs="Times New Roman"/>
          <w:szCs w:val="24"/>
          <w:lang w:eastAsia="ko-KR"/>
        </w:rPr>
        <w:t>line</w:t>
      </w:r>
      <w:r w:rsidRPr="009B19EA">
        <w:rPr>
          <w:rFonts w:cs="Times New Roman"/>
          <w:szCs w:val="24"/>
        </w:rPr>
        <w:t xml:space="preserve"> (logistic regression) with a nonlinear ensemble method (random forest), then evaluates threshold tuning and unsupervised clustering as separate but complementary analytic strategies. The intent is to move from a static prediction exercise to a decision framework that can adapt to different intervention costs and capabilities.</w:t>
      </w:r>
      <w:r w:rsidR="007223B6" w:rsidRPr="009B19EA">
        <w:rPr>
          <w:rFonts w:eastAsia="Malgun Gothic" w:cs="Times New Roman"/>
          <w:szCs w:val="24"/>
          <w:lang w:eastAsia="ko-KR"/>
        </w:rPr>
        <w:t xml:space="preserve"> </w:t>
      </w:r>
      <w:r w:rsidRPr="009B19EA">
        <w:rPr>
          <w:rFonts w:cs="Times New Roman"/>
          <w:szCs w:val="24"/>
        </w:rPr>
        <w:t xml:space="preserve">In applied healthcare analytics, the success criteria are </w:t>
      </w:r>
      <w:proofErr w:type="gramStart"/>
      <w:r w:rsidRPr="009B19EA">
        <w:rPr>
          <w:rFonts w:cs="Times New Roman"/>
          <w:szCs w:val="24"/>
        </w:rPr>
        <w:t>context-dependent</w:t>
      </w:r>
      <w:proofErr w:type="gramEnd"/>
      <w:r w:rsidRPr="009B19EA">
        <w:rPr>
          <w:rFonts w:cs="Times New Roman"/>
          <w:szCs w:val="24"/>
        </w:rPr>
        <w:t>. A community-wide outreach campaign can tolerate some false alarms if it captures more true at-risk individuals</w:t>
      </w:r>
      <w:r w:rsidR="00F06358" w:rsidRPr="009B19EA">
        <w:rPr>
          <w:rFonts w:cs="Times New Roman"/>
          <w:szCs w:val="24"/>
        </w:rPr>
        <w:t>. At</w:t>
      </w:r>
      <w:r w:rsidRPr="009B19EA">
        <w:rPr>
          <w:rFonts w:cs="Times New Roman"/>
          <w:szCs w:val="24"/>
        </w:rPr>
        <w:t xml:space="preserve"> </w:t>
      </w:r>
      <w:r w:rsidR="00F06358" w:rsidRPr="009B19EA">
        <w:rPr>
          <w:rFonts w:cs="Times New Roman"/>
          <w:szCs w:val="24"/>
        </w:rPr>
        <w:t>the same time,</w:t>
      </w:r>
      <w:r w:rsidRPr="009B19EA">
        <w:rPr>
          <w:rFonts w:cs="Times New Roman"/>
          <w:szCs w:val="24"/>
        </w:rPr>
        <w:t xml:space="preserve"> a scarce high-cost intervention program often prioritizes precision to avoid misallocation. For this reason, the paper foregrounds precision</w:t>
      </w:r>
      <w:r w:rsidR="00F06358" w:rsidRPr="009B19EA">
        <w:rPr>
          <w:rFonts w:cs="Times New Roman"/>
          <w:szCs w:val="24"/>
        </w:rPr>
        <w:t>-</w:t>
      </w:r>
      <w:r w:rsidRPr="009B19EA">
        <w:rPr>
          <w:rFonts w:cs="Times New Roman"/>
          <w:szCs w:val="24"/>
        </w:rPr>
        <w:t>recall balance and threshold policy rather than reporting a single metric</w:t>
      </w:r>
      <w:r w:rsidR="00BC0986" w:rsidRPr="009B19EA">
        <w:rPr>
          <w:rFonts w:eastAsia="Malgun Gothic" w:cs="Times New Roman"/>
          <w:szCs w:val="24"/>
          <w:lang w:eastAsia="ko-KR"/>
        </w:rPr>
        <w:t xml:space="preserve"> like ROC-AUC</w:t>
      </w:r>
      <w:r w:rsidRPr="009B19EA">
        <w:rPr>
          <w:rFonts w:cs="Times New Roman"/>
          <w:szCs w:val="24"/>
        </w:rPr>
        <w:t xml:space="preserve"> as universally optimal. </w:t>
      </w:r>
    </w:p>
    <w:p w14:paraId="2DAADD23" w14:textId="2229F951" w:rsidR="006453D3" w:rsidRPr="009B19EA" w:rsidRDefault="006453D3" w:rsidP="009B19EA">
      <w:pPr>
        <w:ind w:firstLine="720"/>
        <w:jc w:val="both"/>
        <w:rPr>
          <w:rFonts w:cs="Times New Roman"/>
          <w:szCs w:val="24"/>
        </w:rPr>
      </w:pPr>
      <w:r w:rsidRPr="009B19EA">
        <w:rPr>
          <w:rFonts w:cs="Times New Roman"/>
          <w:szCs w:val="24"/>
        </w:rPr>
        <w:t xml:space="preserve">This analysis also addressed interpretability in two ways. First, standardized coefficients from logistic regression provide directional and relative-effect insights under the linear assumption. Second, feature importance from </w:t>
      </w:r>
      <w:r w:rsidR="00F06358" w:rsidRPr="009B19EA">
        <w:rPr>
          <w:rFonts w:cs="Times New Roman"/>
          <w:szCs w:val="24"/>
        </w:rPr>
        <w:t xml:space="preserve">a </w:t>
      </w:r>
      <w:r w:rsidRPr="009B19EA">
        <w:rPr>
          <w:rFonts w:cs="Times New Roman"/>
          <w:szCs w:val="24"/>
        </w:rPr>
        <w:t xml:space="preserve">random forest highlights </w:t>
      </w:r>
      <w:r w:rsidR="003B2D7E" w:rsidRPr="009B19EA">
        <w:rPr>
          <w:rFonts w:cs="Times New Roman"/>
          <w:szCs w:val="24"/>
        </w:rPr>
        <w:t xml:space="preserve">a </w:t>
      </w:r>
      <w:r w:rsidRPr="009B19EA">
        <w:rPr>
          <w:rFonts w:cs="Times New Roman"/>
          <w:szCs w:val="24"/>
        </w:rPr>
        <w:t>nonlinear</w:t>
      </w:r>
      <w:r w:rsidR="00F06358" w:rsidRPr="009B19EA">
        <w:rPr>
          <w:rFonts w:cs="Times New Roman"/>
          <w:szCs w:val="24"/>
        </w:rPr>
        <w:t>,</w:t>
      </w:r>
      <w:r w:rsidRPr="009B19EA">
        <w:rPr>
          <w:rFonts w:cs="Times New Roman"/>
          <w:szCs w:val="24"/>
        </w:rPr>
        <w:t xml:space="preserve"> interaction</w:t>
      </w:r>
      <w:r w:rsidR="003B2D7E" w:rsidRPr="009B19EA">
        <w:rPr>
          <w:rFonts w:cs="Times New Roman"/>
          <w:szCs w:val="24"/>
        </w:rPr>
        <w:t>-</w:t>
      </w:r>
      <w:r w:rsidRPr="009B19EA">
        <w:rPr>
          <w:rFonts w:cs="Times New Roman"/>
          <w:szCs w:val="24"/>
        </w:rPr>
        <w:t xml:space="preserve">sensitive structure in the same prediction task. Agreement across these perspectives increased confidence that </w:t>
      </w:r>
      <w:r w:rsidR="00F06358" w:rsidRPr="009B19EA">
        <w:rPr>
          <w:rFonts w:cs="Times New Roman"/>
          <w:szCs w:val="24"/>
        </w:rPr>
        <w:t xml:space="preserve">the </w:t>
      </w:r>
      <w:r w:rsidRPr="009B19EA">
        <w:rPr>
          <w:rFonts w:cs="Times New Roman"/>
          <w:szCs w:val="24"/>
        </w:rPr>
        <w:t xml:space="preserve">findings are robust </w:t>
      </w:r>
      <w:r w:rsidR="00F06358" w:rsidRPr="009B19EA">
        <w:rPr>
          <w:rFonts w:cs="Times New Roman"/>
          <w:szCs w:val="24"/>
        </w:rPr>
        <w:t>across</w:t>
      </w:r>
      <w:r w:rsidRPr="009B19EA">
        <w:rPr>
          <w:rFonts w:cs="Times New Roman"/>
          <w:szCs w:val="24"/>
        </w:rPr>
        <w:t xml:space="preserve"> model famil</w:t>
      </w:r>
      <w:r w:rsidR="00F06358" w:rsidRPr="009B19EA">
        <w:rPr>
          <w:rFonts w:cs="Times New Roman"/>
          <w:szCs w:val="24"/>
        </w:rPr>
        <w:t>ies. At</w:t>
      </w:r>
      <w:r w:rsidRPr="009B19EA">
        <w:rPr>
          <w:rFonts w:cs="Times New Roman"/>
          <w:szCs w:val="24"/>
        </w:rPr>
        <w:t xml:space="preserve"> </w:t>
      </w:r>
      <w:r w:rsidR="00F06358" w:rsidRPr="009B19EA">
        <w:rPr>
          <w:rFonts w:cs="Times New Roman"/>
          <w:szCs w:val="24"/>
        </w:rPr>
        <w:t>the same time,</w:t>
      </w:r>
      <w:r w:rsidRPr="009B19EA">
        <w:rPr>
          <w:rFonts w:cs="Times New Roman"/>
          <w:szCs w:val="24"/>
        </w:rPr>
        <w:t xml:space="preserve"> disagreement reveals where linear simplifications may hide the threshold for defects and handy rule-based risk behavior.</w:t>
      </w:r>
      <w:r w:rsidR="007223B6" w:rsidRPr="009B19EA">
        <w:rPr>
          <w:rFonts w:eastAsia="Malgun Gothic" w:cs="Times New Roman"/>
          <w:szCs w:val="24"/>
          <w:lang w:eastAsia="ko-KR"/>
        </w:rPr>
        <w:t xml:space="preserve"> </w:t>
      </w:r>
      <w:r w:rsidRPr="009B19EA">
        <w:rPr>
          <w:rFonts w:cs="Times New Roman"/>
          <w:szCs w:val="24"/>
        </w:rPr>
        <w:t xml:space="preserve">Beyond </w:t>
      </w:r>
      <w:r w:rsidR="00BC0986" w:rsidRPr="009B19EA">
        <w:rPr>
          <w:rFonts w:eastAsia="Malgun Gothic" w:cs="Times New Roman"/>
          <w:szCs w:val="24"/>
          <w:lang w:eastAsia="ko-KR"/>
        </w:rPr>
        <w:t>supervised</w:t>
      </w:r>
      <w:r w:rsidRPr="009B19EA">
        <w:rPr>
          <w:rFonts w:cs="Times New Roman"/>
          <w:szCs w:val="24"/>
        </w:rPr>
        <w:t xml:space="preserve"> prediction, this study </w:t>
      </w:r>
      <w:r w:rsidR="00F61C71" w:rsidRPr="009B19EA">
        <w:rPr>
          <w:rFonts w:eastAsia="Malgun Gothic" w:cs="Times New Roman"/>
          <w:szCs w:val="24"/>
          <w:lang w:eastAsia="ko-KR"/>
        </w:rPr>
        <w:t>utilizes</w:t>
      </w:r>
      <w:r w:rsidRPr="009B19EA">
        <w:rPr>
          <w:rFonts w:cs="Times New Roman"/>
          <w:szCs w:val="24"/>
        </w:rPr>
        <w:t xml:space="preserve"> the number of unsupervised behavioral segment</w:t>
      </w:r>
      <w:r w:rsidR="00F61C71" w:rsidRPr="009B19EA">
        <w:rPr>
          <w:rFonts w:eastAsia="Malgun Gothic" w:cs="Times New Roman"/>
          <w:szCs w:val="24"/>
          <w:lang w:eastAsia="ko-KR"/>
        </w:rPr>
        <w:t>ation</w:t>
      </w:r>
      <w:r w:rsidRPr="009B19EA">
        <w:rPr>
          <w:rFonts w:cs="Times New Roman"/>
          <w:szCs w:val="24"/>
        </w:rPr>
        <w:t xml:space="preserve"> to test whether meaningful risk groups can be discovered without the direct inclusion of diagnostic targets. This matters because many early prevention programs begin before clinical lab confirmation and rely on demographic and behavioral screening. If unsupervised profiles align </w:t>
      </w:r>
      <w:r w:rsidRPr="009B19EA">
        <w:rPr>
          <w:rFonts w:cs="Times New Roman"/>
          <w:szCs w:val="24"/>
        </w:rPr>
        <w:lastRenderedPageBreak/>
        <w:t xml:space="preserve">with observed diabetes prevalence after clustering, that alignment strengthens the case for scalable preclinical targeting </w:t>
      </w:r>
      <w:r w:rsidR="007223B6" w:rsidRPr="009B19EA">
        <w:rPr>
          <w:rFonts w:eastAsia="Malgun Gothic" w:cs="Times New Roman"/>
          <w:szCs w:val="24"/>
          <w:lang w:eastAsia="ko-KR"/>
        </w:rPr>
        <w:t>in</w:t>
      </w:r>
      <w:r w:rsidRPr="009B19EA">
        <w:rPr>
          <w:rFonts w:cs="Times New Roman"/>
          <w:szCs w:val="24"/>
        </w:rPr>
        <w:t xml:space="preserve"> public health system and payer care management workflows.</w:t>
      </w:r>
    </w:p>
    <w:p w14:paraId="0EF2598A" w14:textId="3D948CB4" w:rsidR="006453D3" w:rsidRPr="009B19EA" w:rsidRDefault="006453D3" w:rsidP="009B19EA">
      <w:pPr>
        <w:ind w:firstLine="720"/>
        <w:jc w:val="both"/>
        <w:rPr>
          <w:rFonts w:cs="Times New Roman"/>
          <w:szCs w:val="24"/>
        </w:rPr>
      </w:pPr>
      <w:r w:rsidRPr="009B19EA">
        <w:rPr>
          <w:rFonts w:cs="Times New Roman"/>
          <w:szCs w:val="24"/>
        </w:rPr>
        <w:t xml:space="preserve">The </w:t>
      </w:r>
      <w:r w:rsidR="00F06358" w:rsidRPr="009B19EA">
        <w:rPr>
          <w:rFonts w:cs="Times New Roman"/>
          <w:szCs w:val="24"/>
        </w:rPr>
        <w:t>following</w:t>
      </w:r>
      <w:r w:rsidRPr="009B19EA">
        <w:rPr>
          <w:rFonts w:cs="Times New Roman"/>
          <w:szCs w:val="24"/>
        </w:rPr>
        <w:t xml:space="preserve"> section summarizes the data set and preparation decisions. Methods then detail preprocessing pipelines, training configurations, evaluation designs, threshold sensitivities, and clustering procedures. Results synthesized numeric performance, feature-level interpretation, and behavioral profile validation. The paper concludes with implications, limitations, and recommendations for practical implementation and </w:t>
      </w:r>
      <w:r w:rsidR="007223B6" w:rsidRPr="009B19EA">
        <w:rPr>
          <w:rFonts w:eastAsia="Malgun Gothic" w:cs="Times New Roman"/>
          <w:szCs w:val="24"/>
          <w:lang w:eastAsia="ko-KR"/>
        </w:rPr>
        <w:t>future</w:t>
      </w:r>
      <w:r w:rsidRPr="009B19EA">
        <w:rPr>
          <w:rFonts w:cs="Times New Roman"/>
          <w:szCs w:val="24"/>
        </w:rPr>
        <w:t xml:space="preserve"> model development.</w:t>
      </w:r>
    </w:p>
    <w:p w14:paraId="0261C41A" w14:textId="44196F12" w:rsidR="006453D3" w:rsidRPr="009B19EA" w:rsidRDefault="006453D3" w:rsidP="009B19EA">
      <w:pPr>
        <w:pStyle w:val="Heading1"/>
        <w:jc w:val="center"/>
        <w:rPr>
          <w:rFonts w:ascii="Times New Roman" w:eastAsia="Malgun Gothic" w:hAnsi="Times New Roman" w:cs="Times New Roman"/>
          <w:sz w:val="24"/>
          <w:szCs w:val="24"/>
          <w:lang w:eastAsia="ko-KR"/>
        </w:rPr>
      </w:pPr>
      <w:r w:rsidRPr="009B19EA">
        <w:rPr>
          <w:rFonts w:ascii="Times New Roman" w:hAnsi="Times New Roman" w:cs="Times New Roman"/>
          <w:sz w:val="24"/>
          <w:szCs w:val="24"/>
        </w:rPr>
        <w:t>Overview of Data</w:t>
      </w:r>
    </w:p>
    <w:p w14:paraId="7BACB910" w14:textId="77777777" w:rsidR="006453D3" w:rsidRPr="009B19EA" w:rsidRDefault="006453D3" w:rsidP="009B19EA">
      <w:pPr>
        <w:ind w:firstLine="720"/>
        <w:jc w:val="both"/>
        <w:rPr>
          <w:rFonts w:cs="Times New Roman"/>
          <w:szCs w:val="24"/>
        </w:rPr>
      </w:pPr>
      <w:r w:rsidRPr="009B19EA">
        <w:rPr>
          <w:rFonts w:cs="Times New Roman"/>
          <w:szCs w:val="24"/>
        </w:rPr>
        <w:t>The analysis used the diabetes dataset available on Kaggle’s Diabetes Health Indicators resource. The working file contains 100,000 individual records and 31 columns, enabling large-sample modeling with sufficient heterogeneity for stable comparisons across demographic, lifestyle, and clinical domains. In practical terms, this sample size reduces variance in aggregate estimates and supports a more reliable interpretation of moderate effect differences that would be possible in small convenience samples.</w:t>
      </w:r>
    </w:p>
    <w:p w14:paraId="4CCF2173" w14:textId="1EC6DC88" w:rsidR="003B2D7E" w:rsidRPr="009B19EA" w:rsidRDefault="006453D3" w:rsidP="009B19EA">
      <w:pPr>
        <w:ind w:firstLine="720"/>
        <w:jc w:val="both"/>
        <w:rPr>
          <w:rFonts w:eastAsia="Malgun Gothic" w:cs="Times New Roman"/>
          <w:szCs w:val="24"/>
          <w:lang w:eastAsia="ko-KR"/>
        </w:rPr>
      </w:pPr>
      <w:r w:rsidRPr="009B19EA">
        <w:rPr>
          <w:rFonts w:cs="Times New Roman"/>
          <w:szCs w:val="24"/>
        </w:rPr>
        <w:t xml:space="preserve">The primary binary target variable was diagnosed_diabetes, where ‘1’ indicates diagnosed diabetes and ‘0’ indicates no diagnosis. The observed distribution was 59,998 positive cases </w:t>
      </w:r>
      <w:r w:rsidR="00F61C71" w:rsidRPr="009B19EA">
        <w:rPr>
          <w:rFonts w:eastAsia="Malgun Gothic" w:cs="Times New Roman"/>
          <w:szCs w:val="24"/>
          <w:lang w:eastAsia="ko-KR"/>
        </w:rPr>
        <w:t xml:space="preserve">and </w:t>
      </w:r>
      <w:r w:rsidRPr="009B19EA">
        <w:rPr>
          <w:rFonts w:cs="Times New Roman"/>
          <w:szCs w:val="24"/>
        </w:rPr>
        <w:t>40,002 negative cases</w:t>
      </w:r>
      <w:r w:rsidR="00F61C71" w:rsidRPr="009B19EA">
        <w:rPr>
          <w:rFonts w:eastAsia="Malgun Gothic" w:cs="Times New Roman"/>
          <w:szCs w:val="24"/>
          <w:lang w:eastAsia="ko-KR"/>
        </w:rPr>
        <w:t xml:space="preserve"> (approximately 60% positive and 40% negative).</w:t>
      </w:r>
      <w:r w:rsidRPr="009B19EA">
        <w:rPr>
          <w:rFonts w:cs="Times New Roman"/>
          <w:szCs w:val="24"/>
        </w:rPr>
        <w:t xml:space="preserve"> </w:t>
      </w:r>
      <w:r w:rsidR="00F61C71" w:rsidRPr="009B19EA">
        <w:rPr>
          <w:rFonts w:eastAsia="Malgun Gothic" w:cs="Times New Roman"/>
          <w:szCs w:val="24"/>
          <w:lang w:eastAsia="ko-KR"/>
        </w:rPr>
        <w:t xml:space="preserve">This </w:t>
      </w:r>
      <w:r w:rsidRPr="009B19EA">
        <w:rPr>
          <w:rFonts w:cs="Times New Roman"/>
          <w:szCs w:val="24"/>
        </w:rPr>
        <w:t xml:space="preserve">class </w:t>
      </w:r>
      <w:r w:rsidR="00F61C71" w:rsidRPr="009B19EA">
        <w:rPr>
          <w:rFonts w:eastAsia="Malgun Gothic" w:cs="Times New Roman"/>
          <w:szCs w:val="24"/>
          <w:lang w:eastAsia="ko-KR"/>
        </w:rPr>
        <w:t>split</w:t>
      </w:r>
      <w:r w:rsidRPr="009B19EA">
        <w:rPr>
          <w:rFonts w:cs="Times New Roman"/>
          <w:szCs w:val="24"/>
        </w:rPr>
        <w:t xml:space="preserve"> </w:t>
      </w:r>
      <w:r w:rsidR="00F61C71" w:rsidRPr="009B19EA">
        <w:rPr>
          <w:rFonts w:eastAsia="Malgun Gothic" w:cs="Times New Roman"/>
          <w:szCs w:val="24"/>
          <w:lang w:eastAsia="ko-KR"/>
        </w:rPr>
        <w:t xml:space="preserve">permits </w:t>
      </w:r>
      <w:r w:rsidRPr="009B19EA">
        <w:rPr>
          <w:rFonts w:cs="Times New Roman"/>
          <w:szCs w:val="24"/>
        </w:rPr>
        <w:t>stable estimation of precision and recall without severe minority-class sparsity.</w:t>
      </w:r>
    </w:p>
    <w:p w14:paraId="5CFC2826" w14:textId="1E43EDDC" w:rsidR="006453D3" w:rsidRPr="009B19EA" w:rsidRDefault="006453D3" w:rsidP="009B19EA">
      <w:pPr>
        <w:ind w:firstLine="720"/>
        <w:jc w:val="both"/>
        <w:rPr>
          <w:rFonts w:eastAsia="Malgun Gothic" w:cs="Times New Roman"/>
          <w:szCs w:val="24"/>
          <w:lang w:eastAsia="ko-KR"/>
        </w:rPr>
      </w:pPr>
      <w:r w:rsidRPr="009B19EA">
        <w:rPr>
          <w:rFonts w:cs="Times New Roman"/>
          <w:szCs w:val="24"/>
        </w:rPr>
        <w:t>A secondary staging variable, diabetes_stage, appears in the d</w:t>
      </w:r>
      <w:r w:rsidR="00F06358" w:rsidRPr="009B19EA">
        <w:rPr>
          <w:rFonts w:cs="Times New Roman"/>
          <w:szCs w:val="24"/>
        </w:rPr>
        <w:t>ataset</w:t>
      </w:r>
      <w:r w:rsidRPr="009B19EA">
        <w:rPr>
          <w:rFonts w:cs="Times New Roman"/>
          <w:szCs w:val="24"/>
        </w:rPr>
        <w:t xml:space="preserve"> with categories such as Type 2, Pre-Diabetes, and No Diabetes. This field was retained for descriptive context but excluded from supervised model inputs to prevent </w:t>
      </w:r>
      <w:r w:rsidR="00F61C71" w:rsidRPr="009B19EA">
        <w:rPr>
          <w:rFonts w:eastAsia="Malgun Gothic" w:cs="Times New Roman"/>
          <w:szCs w:val="24"/>
          <w:lang w:eastAsia="ko-KR"/>
        </w:rPr>
        <w:t xml:space="preserve">data </w:t>
      </w:r>
      <w:r w:rsidRPr="009B19EA">
        <w:rPr>
          <w:rFonts w:cs="Times New Roman"/>
          <w:szCs w:val="24"/>
        </w:rPr>
        <w:t xml:space="preserve">leakage, </w:t>
      </w:r>
      <w:r w:rsidR="00F61C71" w:rsidRPr="009B19EA">
        <w:rPr>
          <w:rFonts w:eastAsia="Malgun Gothic" w:cs="Times New Roman"/>
          <w:szCs w:val="24"/>
          <w:lang w:eastAsia="ko-KR"/>
        </w:rPr>
        <w:t>as</w:t>
      </w:r>
      <w:r w:rsidRPr="009B19EA">
        <w:rPr>
          <w:rFonts w:cs="Times New Roman"/>
          <w:szCs w:val="24"/>
        </w:rPr>
        <w:t xml:space="preserve"> stage labels are strongly downstream of diagnosis and would artificially inflate predictive performance</w:t>
      </w:r>
      <w:r w:rsidR="00F61C71" w:rsidRPr="009B19EA">
        <w:rPr>
          <w:rFonts w:eastAsia="Malgun Gothic" w:cs="Times New Roman"/>
          <w:szCs w:val="24"/>
          <w:lang w:eastAsia="ko-KR"/>
        </w:rPr>
        <w:t>.</w:t>
      </w:r>
      <w:r w:rsidRPr="009B19EA">
        <w:rPr>
          <w:rFonts w:cs="Times New Roman"/>
          <w:szCs w:val="24"/>
        </w:rPr>
        <w:t xml:space="preserve">  Leakage control was treated as a non-negotiable design rule to preserve credible evaluation.</w:t>
      </w:r>
    </w:p>
    <w:p w14:paraId="4DB72F37" w14:textId="77777777" w:rsidR="00F61C71" w:rsidRPr="009B19EA" w:rsidRDefault="00F61C71" w:rsidP="009B19EA">
      <w:pPr>
        <w:jc w:val="both"/>
        <w:rPr>
          <w:rFonts w:eastAsia="Malgun Gothic" w:cs="Times New Roman"/>
          <w:szCs w:val="24"/>
          <w:lang w:eastAsia="ko-KR"/>
        </w:rPr>
      </w:pPr>
    </w:p>
    <w:p w14:paraId="5BD94A30" w14:textId="77777777" w:rsidR="00F61C71" w:rsidRPr="00F61C71" w:rsidRDefault="00F61C71" w:rsidP="009B19EA">
      <w:pPr>
        <w:jc w:val="both"/>
        <w:rPr>
          <w:rFonts w:cs="Times New Roman"/>
          <w:szCs w:val="24"/>
        </w:rPr>
      </w:pPr>
      <w:r w:rsidRPr="00F61C71">
        <w:rPr>
          <w:rFonts w:cs="Times New Roman"/>
          <w:szCs w:val="24"/>
        </w:rPr>
        <w:t>Predictor variables were grouped into three conceptual blocks:</w:t>
      </w:r>
    </w:p>
    <w:p w14:paraId="39FFFBBD" w14:textId="77777777" w:rsidR="00F61C71" w:rsidRPr="00F61C71" w:rsidRDefault="00F61C71" w:rsidP="009B19EA">
      <w:pPr>
        <w:numPr>
          <w:ilvl w:val="0"/>
          <w:numId w:val="10"/>
        </w:numPr>
        <w:jc w:val="both"/>
        <w:rPr>
          <w:rFonts w:cs="Times New Roman"/>
          <w:szCs w:val="24"/>
        </w:rPr>
      </w:pPr>
      <w:r w:rsidRPr="00F61C71">
        <w:rPr>
          <w:rFonts w:cs="Times New Roman"/>
          <w:b/>
          <w:bCs/>
          <w:szCs w:val="24"/>
        </w:rPr>
        <w:t>Demographic:</w:t>
      </w:r>
      <w:r w:rsidRPr="00F61C71">
        <w:rPr>
          <w:rFonts w:cs="Times New Roman"/>
          <w:szCs w:val="24"/>
        </w:rPr>
        <w:t xml:space="preserve"> Age, gender, ethnicity, education level, income level, employment status, and family history.</w:t>
      </w:r>
    </w:p>
    <w:p w14:paraId="2C695582" w14:textId="77777777" w:rsidR="00F61C71" w:rsidRPr="00F61C71" w:rsidRDefault="00F61C71" w:rsidP="009B19EA">
      <w:pPr>
        <w:numPr>
          <w:ilvl w:val="0"/>
          <w:numId w:val="10"/>
        </w:numPr>
        <w:jc w:val="both"/>
        <w:rPr>
          <w:rFonts w:cs="Times New Roman"/>
          <w:szCs w:val="24"/>
        </w:rPr>
      </w:pPr>
      <w:r w:rsidRPr="00F61C71">
        <w:rPr>
          <w:rFonts w:cs="Times New Roman"/>
          <w:b/>
          <w:bCs/>
          <w:szCs w:val="24"/>
        </w:rPr>
        <w:t>Lifestyle:</w:t>
      </w:r>
      <w:r w:rsidRPr="00F61C71">
        <w:rPr>
          <w:rFonts w:cs="Times New Roman"/>
          <w:szCs w:val="24"/>
        </w:rPr>
        <w:t xml:space="preserve"> Physical activity minutes per week, diet score, sleep duration, screen time, smoking status, and alcohol use frequency.</w:t>
      </w:r>
    </w:p>
    <w:p w14:paraId="60021984" w14:textId="77777777" w:rsidR="00F61C71" w:rsidRPr="00F61C71" w:rsidRDefault="00F61C71" w:rsidP="009B19EA">
      <w:pPr>
        <w:numPr>
          <w:ilvl w:val="0"/>
          <w:numId w:val="10"/>
        </w:numPr>
        <w:jc w:val="both"/>
        <w:rPr>
          <w:rFonts w:cs="Times New Roman"/>
          <w:szCs w:val="24"/>
        </w:rPr>
      </w:pPr>
      <w:r w:rsidRPr="00F61C71">
        <w:rPr>
          <w:rFonts w:cs="Times New Roman"/>
          <w:b/>
          <w:bCs/>
          <w:szCs w:val="24"/>
        </w:rPr>
        <w:t>Clinical/Physiological:</w:t>
      </w:r>
      <w:r w:rsidRPr="00F61C71">
        <w:rPr>
          <w:rFonts w:cs="Times New Roman"/>
          <w:szCs w:val="24"/>
        </w:rPr>
        <w:t xml:space="preserve"> BMI, blood pressure measures, lipid markers, fasting glucose, postprandial glucose, insulin, HbA1c, and a composite risk score.</w:t>
      </w:r>
    </w:p>
    <w:p w14:paraId="4BE6897A" w14:textId="4E0722D3" w:rsidR="003B2D7E" w:rsidRPr="009B19EA" w:rsidRDefault="006453D3" w:rsidP="009B19EA">
      <w:pPr>
        <w:ind w:firstLine="360"/>
        <w:jc w:val="both"/>
        <w:rPr>
          <w:rFonts w:eastAsia="Malgun Gothic" w:cs="Times New Roman"/>
          <w:szCs w:val="24"/>
          <w:lang w:eastAsia="ko-KR"/>
        </w:rPr>
      </w:pPr>
      <w:r w:rsidRPr="009B19EA">
        <w:rPr>
          <w:rFonts w:cs="Times New Roman"/>
          <w:szCs w:val="24"/>
        </w:rPr>
        <w:t xml:space="preserve">Data quality diagnostics </w:t>
      </w:r>
      <w:r w:rsidR="00F61C71" w:rsidRPr="009B19EA">
        <w:rPr>
          <w:rFonts w:eastAsia="Malgun Gothic" w:cs="Times New Roman"/>
          <w:szCs w:val="24"/>
          <w:lang w:eastAsia="ko-KR"/>
        </w:rPr>
        <w:t>confirmed</w:t>
      </w:r>
      <w:r w:rsidRPr="009B19EA">
        <w:rPr>
          <w:rFonts w:cs="Times New Roman"/>
          <w:szCs w:val="24"/>
        </w:rPr>
        <w:t xml:space="preserve"> no missing values across columns and no duplicate records. Even though imputation components were still included in the modeling pipeline, this was intentional and methodologically sound: reusable pipelines should be robust to missing data in future data, even when the current training snapshot is complete. This decision supports reproducibility and </w:t>
      </w:r>
      <w:proofErr w:type="spellStart"/>
      <w:r w:rsidR="00002A6E" w:rsidRPr="009B19EA">
        <w:rPr>
          <w:rFonts w:eastAsia="Malgun Gothic" w:cs="Times New Roman"/>
          <w:szCs w:val="24"/>
          <w:lang w:eastAsia="ko-KR"/>
        </w:rPr>
        <w:t>deployability</w:t>
      </w:r>
      <w:proofErr w:type="spellEnd"/>
      <w:r w:rsidRPr="009B19EA">
        <w:rPr>
          <w:rFonts w:cs="Times New Roman"/>
          <w:szCs w:val="24"/>
        </w:rPr>
        <w:t xml:space="preserve"> because production data rarely matches the cleanliness of training data.</w:t>
      </w:r>
    </w:p>
    <w:p w14:paraId="08A576F5" w14:textId="02CFD531" w:rsidR="003B2D7E" w:rsidRPr="009B19EA" w:rsidRDefault="006453D3" w:rsidP="009B19EA">
      <w:pPr>
        <w:ind w:firstLine="360"/>
        <w:jc w:val="both"/>
        <w:rPr>
          <w:rFonts w:eastAsia="Malgun Gothic" w:cs="Times New Roman"/>
          <w:szCs w:val="24"/>
          <w:lang w:eastAsia="ko-KR"/>
        </w:rPr>
      </w:pPr>
      <w:r w:rsidRPr="009B19EA">
        <w:rPr>
          <w:rFonts w:cs="Times New Roman"/>
          <w:szCs w:val="24"/>
        </w:rPr>
        <w:t>Outlier analysis using I</w:t>
      </w:r>
      <w:r w:rsidR="00002A6E" w:rsidRPr="009B19EA">
        <w:rPr>
          <w:rFonts w:eastAsia="Malgun Gothic" w:cs="Times New Roman"/>
          <w:szCs w:val="24"/>
          <w:lang w:eastAsia="ko-KR"/>
        </w:rPr>
        <w:t>QR</w:t>
      </w:r>
      <w:r w:rsidRPr="009B19EA">
        <w:rPr>
          <w:rFonts w:cs="Times New Roman"/>
          <w:szCs w:val="24"/>
        </w:rPr>
        <w:t xml:space="preserve">-based thresholds identifies expected </w:t>
      </w:r>
      <w:r w:rsidR="00002A6E" w:rsidRPr="009B19EA">
        <w:rPr>
          <w:rFonts w:eastAsia="Malgun Gothic" w:cs="Times New Roman"/>
          <w:szCs w:val="24"/>
          <w:lang w:eastAsia="ko-KR"/>
        </w:rPr>
        <w:t>tail</w:t>
      </w:r>
      <w:r w:rsidRPr="009B19EA">
        <w:rPr>
          <w:rFonts w:cs="Times New Roman"/>
          <w:szCs w:val="24"/>
        </w:rPr>
        <w:t xml:space="preserve"> behavior in several numeric variables, including BMI, fasting glucose, HbA1c, and physical activities. Outlier percentages were generally modest relative to the total sample size and were not automatically removed. In healthy data, tail observations often represent clinically meaningful extremes rather than measurement erro</w:t>
      </w:r>
      <w:r w:rsidR="00002A6E" w:rsidRPr="009B19EA">
        <w:rPr>
          <w:rFonts w:eastAsia="Malgun Gothic" w:cs="Times New Roman"/>
          <w:szCs w:val="24"/>
          <w:lang w:eastAsia="ko-KR"/>
        </w:rPr>
        <w:t>rs.</w:t>
      </w:r>
      <w:r w:rsidRPr="009B19EA">
        <w:rPr>
          <w:rFonts w:cs="Times New Roman"/>
          <w:szCs w:val="24"/>
        </w:rPr>
        <w:t xml:space="preserve"> Aggressive trimming can ease high-risk phenotypes that are important for prevention targeting and calibration.</w:t>
      </w:r>
    </w:p>
    <w:p w14:paraId="4E77B1FB" w14:textId="7A3278C9" w:rsidR="003B2D7E" w:rsidRPr="009B19EA" w:rsidRDefault="006453D3" w:rsidP="009B19EA">
      <w:pPr>
        <w:ind w:firstLine="360"/>
        <w:jc w:val="both"/>
        <w:rPr>
          <w:rFonts w:eastAsia="Malgun Gothic" w:cs="Times New Roman"/>
          <w:szCs w:val="24"/>
          <w:lang w:eastAsia="ko-KR"/>
        </w:rPr>
      </w:pPr>
      <w:r w:rsidRPr="009B19EA">
        <w:rPr>
          <w:rFonts w:cs="Times New Roman"/>
          <w:szCs w:val="24"/>
        </w:rPr>
        <w:t>Descriptive distribution checks confirmed that diabetes prevalence varied across demographic and behavior</w:t>
      </w:r>
      <w:r w:rsidR="006E1381" w:rsidRPr="009B19EA">
        <w:rPr>
          <w:rFonts w:cs="Times New Roman"/>
          <w:szCs w:val="24"/>
        </w:rPr>
        <w:t>al</w:t>
      </w:r>
      <w:r w:rsidRPr="009B19EA">
        <w:rPr>
          <w:rFonts w:cs="Times New Roman"/>
          <w:szCs w:val="24"/>
        </w:rPr>
        <w:t xml:space="preserve"> slices</w:t>
      </w:r>
      <w:r w:rsidR="006E1381" w:rsidRPr="009B19EA">
        <w:rPr>
          <w:rFonts w:cs="Times New Roman"/>
          <w:szCs w:val="24"/>
        </w:rPr>
        <w:t>,</w:t>
      </w:r>
      <w:r w:rsidRPr="009B19EA">
        <w:rPr>
          <w:rFonts w:cs="Times New Roman"/>
          <w:szCs w:val="24"/>
        </w:rPr>
        <w:t xml:space="preserve"> motivating the multivariable</w:t>
      </w:r>
      <w:r w:rsidR="006E1381" w:rsidRPr="009B19EA">
        <w:rPr>
          <w:rFonts w:cs="Times New Roman"/>
          <w:szCs w:val="24"/>
        </w:rPr>
        <w:t xml:space="preserve"> approach used in downstream modeling. For example, lifestyle variables and diet score</w:t>
      </w:r>
      <w:r w:rsidR="00F06358" w:rsidRPr="009B19EA">
        <w:rPr>
          <w:rFonts w:cs="Times New Roman"/>
          <w:szCs w:val="24"/>
        </w:rPr>
        <w:t>s</w:t>
      </w:r>
      <w:r w:rsidR="006E1381" w:rsidRPr="009B19EA">
        <w:rPr>
          <w:rFonts w:cs="Times New Roman"/>
          <w:szCs w:val="24"/>
        </w:rPr>
        <w:t xml:space="preserve"> differed by diagnostic group, wh</w:t>
      </w:r>
      <w:r w:rsidR="00F06358" w:rsidRPr="009B19EA">
        <w:rPr>
          <w:rFonts w:cs="Times New Roman"/>
          <w:szCs w:val="24"/>
        </w:rPr>
        <w:t>ereas</w:t>
      </w:r>
      <w:r w:rsidR="006E1381" w:rsidRPr="009B19EA">
        <w:rPr>
          <w:rFonts w:cs="Times New Roman"/>
          <w:szCs w:val="24"/>
        </w:rPr>
        <w:t xml:space="preserve"> some variables, </w:t>
      </w:r>
      <w:r w:rsidR="006E1381" w:rsidRPr="009B19EA">
        <w:rPr>
          <w:rFonts w:cs="Times New Roman"/>
          <w:szCs w:val="24"/>
        </w:rPr>
        <w:lastRenderedPageBreak/>
        <w:t xml:space="preserve">such as sleep and alcohol, showed weaker univariate separation. These early patterns supported the </w:t>
      </w:r>
      <w:r w:rsidR="00002A6E" w:rsidRPr="009B19EA">
        <w:rPr>
          <w:rFonts w:eastAsia="Malgun Gothic" w:cs="Times New Roman"/>
          <w:szCs w:val="24"/>
          <w:lang w:eastAsia="ko-KR"/>
        </w:rPr>
        <w:t>latter</w:t>
      </w:r>
      <w:r w:rsidR="006E1381" w:rsidRPr="009B19EA">
        <w:rPr>
          <w:rFonts w:cs="Times New Roman"/>
          <w:szCs w:val="24"/>
        </w:rPr>
        <w:t xml:space="preserve"> finding that no single lifestyle variable explains risk in isolation, and that a multivariate context is required.</w:t>
      </w:r>
    </w:p>
    <w:p w14:paraId="043DBA23" w14:textId="7D50BBDE" w:rsidR="003B2D7E" w:rsidRPr="009B19EA" w:rsidRDefault="006E1381" w:rsidP="009B19EA">
      <w:pPr>
        <w:ind w:firstLine="360"/>
        <w:jc w:val="both"/>
        <w:rPr>
          <w:rFonts w:eastAsia="Malgun Gothic" w:cs="Times New Roman"/>
          <w:szCs w:val="24"/>
          <w:lang w:eastAsia="ko-KR"/>
        </w:rPr>
      </w:pPr>
      <w:r w:rsidRPr="009B19EA">
        <w:rPr>
          <w:rFonts w:cs="Times New Roman"/>
          <w:szCs w:val="24"/>
        </w:rPr>
        <w:t xml:space="preserve">Correlational screening showed strong positive associations with diagnosed diabetes for </w:t>
      </w:r>
      <w:r w:rsidR="00435AEC" w:rsidRPr="009B19EA">
        <w:rPr>
          <w:rFonts w:cs="Times New Roman"/>
          <w:szCs w:val="24"/>
        </w:rPr>
        <w:t>HbA1c</w:t>
      </w:r>
      <w:r w:rsidRPr="009B19EA">
        <w:rPr>
          <w:rFonts w:cs="Times New Roman"/>
          <w:szCs w:val="24"/>
        </w:rPr>
        <w:t>, postprandial glucose, and fasting glucose, followed by intermediate effects for composite risk score and family history. Lifestyle correlations were weaker on average, though physical activity showed a meaningful negative relationship. Importantly, correlation was used only for exploratory purposes and not as a substitute for predictive modeling, because nonlinear effects and interactions can be missed in pairwise summaries.</w:t>
      </w:r>
    </w:p>
    <w:p w14:paraId="48DDAB7F" w14:textId="1D44265E" w:rsidR="003B2D7E" w:rsidRPr="009B19EA" w:rsidRDefault="006E1381" w:rsidP="009B19EA">
      <w:pPr>
        <w:ind w:firstLine="360"/>
        <w:jc w:val="both"/>
        <w:rPr>
          <w:rFonts w:cs="Times New Roman"/>
          <w:szCs w:val="24"/>
        </w:rPr>
      </w:pPr>
      <w:r w:rsidRPr="009B19EA">
        <w:rPr>
          <w:rFonts w:cs="Times New Roman"/>
          <w:szCs w:val="24"/>
        </w:rPr>
        <w:t>Data representation choices align with the needs of mixed-type modeling. Numeric variables are treated as continuous inputs for scaling and robust coefficient comparison</w:t>
      </w:r>
      <w:r w:rsidR="00F06358" w:rsidRPr="009B19EA">
        <w:rPr>
          <w:rFonts w:cs="Times New Roman"/>
          <w:szCs w:val="24"/>
        </w:rPr>
        <w:t>.</w:t>
      </w:r>
      <w:r w:rsidRPr="009B19EA">
        <w:rPr>
          <w:rFonts w:cs="Times New Roman"/>
          <w:szCs w:val="24"/>
        </w:rPr>
        <w:t xml:space="preserve"> </w:t>
      </w:r>
      <w:r w:rsidR="00F06358" w:rsidRPr="009B19EA">
        <w:rPr>
          <w:rFonts w:cs="Times New Roman"/>
          <w:szCs w:val="24"/>
        </w:rPr>
        <w:t>In contrast,</w:t>
      </w:r>
      <w:r w:rsidRPr="009B19EA">
        <w:rPr>
          <w:rFonts w:cs="Times New Roman"/>
          <w:szCs w:val="24"/>
        </w:rPr>
        <w:t xml:space="preserve"> categorical variables are transformed through one-hot encoding to preserve category-specific effects without imposing arbitrary ordinality. This mixed representation allowed side-by-side assessment of socioeconomic categories and physiological measures in a shared predictive framework.</w:t>
      </w:r>
    </w:p>
    <w:p w14:paraId="2295B7AC" w14:textId="69E5AB56" w:rsidR="003B2D7E" w:rsidRPr="009B19EA" w:rsidRDefault="006E1381" w:rsidP="009B19EA">
      <w:pPr>
        <w:ind w:firstLine="360"/>
        <w:jc w:val="both"/>
        <w:rPr>
          <w:rFonts w:cs="Times New Roman"/>
          <w:szCs w:val="24"/>
        </w:rPr>
      </w:pPr>
      <w:r w:rsidRPr="009B19EA">
        <w:rPr>
          <w:rFonts w:cs="Times New Roman"/>
          <w:szCs w:val="24"/>
        </w:rPr>
        <w:t xml:space="preserve">Overall, </w:t>
      </w:r>
      <w:r w:rsidR="00002A6E" w:rsidRPr="009B19EA">
        <w:rPr>
          <w:rFonts w:eastAsia="Malgun Gothic" w:cs="Times New Roman"/>
          <w:szCs w:val="24"/>
          <w:lang w:eastAsia="ko-KR"/>
        </w:rPr>
        <w:t>the dataset was</w:t>
      </w:r>
      <w:r w:rsidRPr="009B19EA">
        <w:rPr>
          <w:rFonts w:cs="Times New Roman"/>
          <w:szCs w:val="24"/>
        </w:rPr>
        <w:t xml:space="preserve"> suitable for the paper’s dual aims: comparative predictive modeling and behavioral clustering. It contains sufficient breadth to evaluate the </w:t>
      </w:r>
      <w:r w:rsidR="00A419AC" w:rsidRPr="009B19EA">
        <w:rPr>
          <w:rFonts w:eastAsia="Malgun Gothic" w:cs="Times New Roman"/>
          <w:szCs w:val="24"/>
          <w:lang w:eastAsia="ko-KR"/>
        </w:rPr>
        <w:t>structural</w:t>
      </w:r>
      <w:r w:rsidRPr="009B19EA">
        <w:rPr>
          <w:rFonts w:cs="Times New Roman"/>
          <w:szCs w:val="24"/>
        </w:rPr>
        <w:t xml:space="preserve">, behavioral, and biological dimensions of diabetes risk while still permitting transparent preprocessing and </w:t>
      </w:r>
      <w:r w:rsidR="00F06358" w:rsidRPr="009B19EA">
        <w:rPr>
          <w:rFonts w:cs="Times New Roman"/>
          <w:szCs w:val="24"/>
        </w:rPr>
        <w:t>straightforward</w:t>
      </w:r>
      <w:r w:rsidRPr="009B19EA">
        <w:rPr>
          <w:rFonts w:cs="Times New Roman"/>
          <w:szCs w:val="24"/>
        </w:rPr>
        <w:t xml:space="preserve"> interpretation. The quality and scope of the data supported coherent inference about practical screening strategies rather than narrow algorithm benchmarking. </w:t>
      </w:r>
    </w:p>
    <w:p w14:paraId="4F96D42E" w14:textId="77777777" w:rsidR="003B2D7E" w:rsidRPr="009B19EA" w:rsidRDefault="003B2D7E" w:rsidP="009B19EA">
      <w:pPr>
        <w:jc w:val="both"/>
        <w:rPr>
          <w:rFonts w:cs="Times New Roman"/>
          <w:szCs w:val="24"/>
        </w:rPr>
      </w:pPr>
    </w:p>
    <w:p w14:paraId="5C25F4B9" w14:textId="688B3992" w:rsidR="003B2D7E" w:rsidRPr="009B19EA" w:rsidRDefault="003B2D7E" w:rsidP="009B19EA">
      <w:pPr>
        <w:jc w:val="center"/>
        <w:rPr>
          <w:rFonts w:eastAsiaTheme="majorEastAsia" w:cs="Times New Roman"/>
          <w:b/>
          <w:bCs/>
          <w:color w:val="365F91" w:themeColor="accent1" w:themeShade="BF"/>
          <w:szCs w:val="24"/>
        </w:rPr>
      </w:pPr>
      <w:r w:rsidRPr="009B19EA">
        <w:rPr>
          <w:rFonts w:eastAsiaTheme="majorEastAsia" w:cs="Times New Roman"/>
          <w:b/>
          <w:bCs/>
          <w:color w:val="365F91" w:themeColor="accent1" w:themeShade="BF"/>
          <w:szCs w:val="24"/>
        </w:rPr>
        <w:t xml:space="preserve">Methods of </w:t>
      </w:r>
      <w:r w:rsidR="008D3125" w:rsidRPr="009B19EA">
        <w:rPr>
          <w:rFonts w:eastAsiaTheme="majorEastAsia" w:cs="Times New Roman"/>
          <w:b/>
          <w:bCs/>
          <w:color w:val="365F91" w:themeColor="accent1" w:themeShade="BF"/>
          <w:szCs w:val="24"/>
        </w:rPr>
        <w:t>A</w:t>
      </w:r>
      <w:r w:rsidRPr="009B19EA">
        <w:rPr>
          <w:rFonts w:eastAsiaTheme="majorEastAsia" w:cs="Times New Roman"/>
          <w:b/>
          <w:bCs/>
          <w:color w:val="365F91" w:themeColor="accent1" w:themeShade="BF"/>
          <w:szCs w:val="24"/>
        </w:rPr>
        <w:t>nalysis</w:t>
      </w:r>
    </w:p>
    <w:p w14:paraId="02D2AB9D" w14:textId="5A809B38" w:rsidR="003B2D7E" w:rsidRPr="009B19EA" w:rsidRDefault="003B2D7E" w:rsidP="009B19EA">
      <w:pPr>
        <w:ind w:firstLine="720"/>
        <w:jc w:val="both"/>
        <w:rPr>
          <w:rFonts w:eastAsia="Malgun Gothic" w:cs="Times New Roman"/>
          <w:szCs w:val="24"/>
          <w:lang w:eastAsia="ko-KR"/>
        </w:rPr>
      </w:pPr>
      <w:r w:rsidRPr="009B19EA">
        <w:rPr>
          <w:rFonts w:cs="Times New Roman"/>
          <w:szCs w:val="24"/>
        </w:rPr>
        <w:lastRenderedPageBreak/>
        <w:t xml:space="preserve">The supervised workflow was implemented using scikit-learn Pipelines to ensure consistent preprocessing across the training and test partitions. The design prevented leakage from manual preprocessing outside of cross-validation or split-aware flows and made feature engineering reproducible. A stratified 80/20 train-test </w:t>
      </w:r>
      <w:r w:rsidR="00A419AC" w:rsidRPr="009B19EA">
        <w:rPr>
          <w:rFonts w:eastAsia="Malgun Gothic" w:cs="Times New Roman"/>
          <w:szCs w:val="24"/>
          <w:lang w:eastAsia="ko-KR"/>
        </w:rPr>
        <w:t>s</w:t>
      </w:r>
      <w:r w:rsidRPr="009B19EA">
        <w:rPr>
          <w:rFonts w:cs="Times New Roman"/>
          <w:szCs w:val="24"/>
        </w:rPr>
        <w:t xml:space="preserve">plit with random_state fixed at 42 was used to preserve class partitions while enabling exact reruns for milestone comparison. </w:t>
      </w:r>
    </w:p>
    <w:p w14:paraId="2E83D1A2" w14:textId="12CFA098" w:rsidR="003B2D7E" w:rsidRPr="009B19EA" w:rsidRDefault="003B2D7E" w:rsidP="009B19EA">
      <w:pPr>
        <w:ind w:firstLine="720"/>
        <w:jc w:val="both"/>
        <w:rPr>
          <w:rFonts w:eastAsia="Malgun Gothic" w:cs="Times New Roman"/>
          <w:szCs w:val="24"/>
          <w:lang w:eastAsia="ko-KR"/>
        </w:rPr>
      </w:pPr>
      <w:r w:rsidRPr="009B19EA">
        <w:rPr>
          <w:rFonts w:cs="Times New Roman"/>
          <w:szCs w:val="24"/>
        </w:rPr>
        <w:t xml:space="preserve">Numeric preprocessing consisted of median </w:t>
      </w:r>
      <w:r w:rsidR="00A419AC" w:rsidRPr="009B19EA">
        <w:rPr>
          <w:rFonts w:eastAsia="Malgun Gothic" w:cs="Times New Roman"/>
          <w:szCs w:val="24"/>
          <w:lang w:eastAsia="ko-KR"/>
        </w:rPr>
        <w:t>i</w:t>
      </w:r>
      <w:r w:rsidRPr="009B19EA">
        <w:rPr>
          <w:rFonts w:cs="Times New Roman"/>
          <w:szCs w:val="24"/>
        </w:rPr>
        <w:t xml:space="preserve">mputation followed by standardization. Median </w:t>
      </w:r>
      <w:r w:rsidR="00A419AC" w:rsidRPr="009B19EA">
        <w:rPr>
          <w:rFonts w:eastAsia="Malgun Gothic" w:cs="Times New Roman"/>
          <w:szCs w:val="24"/>
          <w:lang w:eastAsia="ko-KR"/>
        </w:rPr>
        <w:t>imputation</w:t>
      </w:r>
      <w:r w:rsidRPr="009B19EA">
        <w:rPr>
          <w:rFonts w:cs="Times New Roman"/>
          <w:szCs w:val="24"/>
        </w:rPr>
        <w:t xml:space="preserve"> provides robustness to skew and outliers relative to mean replacement, while standardization places continuous predictors on comparable scales for coefficient interpretation in linear models. Even in the absence of current missingness, imputation steps were </w:t>
      </w:r>
      <w:r w:rsidR="00A419AC" w:rsidRPr="009B19EA">
        <w:rPr>
          <w:rFonts w:eastAsia="Malgun Gothic" w:cs="Times New Roman"/>
          <w:szCs w:val="24"/>
          <w:lang w:eastAsia="ko-KR"/>
        </w:rPr>
        <w:t>retained</w:t>
      </w:r>
      <w:r w:rsidRPr="009B19EA">
        <w:rPr>
          <w:rFonts w:cs="Times New Roman"/>
          <w:szCs w:val="24"/>
        </w:rPr>
        <w:t xml:space="preserve"> to future-proof the pipeline and maintain consistency with deployable inference paths.</w:t>
      </w:r>
    </w:p>
    <w:p w14:paraId="65E8DB8C" w14:textId="42509440" w:rsidR="007C0045" w:rsidRPr="009B19EA" w:rsidRDefault="003B2D7E" w:rsidP="009B19EA">
      <w:pPr>
        <w:ind w:firstLine="720"/>
        <w:jc w:val="both"/>
        <w:rPr>
          <w:rFonts w:eastAsia="Malgun Gothic" w:cs="Times New Roman"/>
          <w:szCs w:val="24"/>
          <w:lang w:eastAsia="ko-KR"/>
        </w:rPr>
      </w:pPr>
      <w:r w:rsidRPr="009B19EA">
        <w:rPr>
          <w:rFonts w:cs="Times New Roman"/>
          <w:szCs w:val="24"/>
        </w:rPr>
        <w:t xml:space="preserve">Categorical </w:t>
      </w:r>
      <w:r w:rsidR="00A419AC" w:rsidRPr="009B19EA">
        <w:rPr>
          <w:rFonts w:eastAsia="Malgun Gothic" w:cs="Times New Roman"/>
          <w:szCs w:val="24"/>
          <w:lang w:eastAsia="ko-KR"/>
        </w:rPr>
        <w:t>pre</w:t>
      </w:r>
      <w:r w:rsidRPr="009B19EA">
        <w:rPr>
          <w:rFonts w:cs="Times New Roman"/>
          <w:szCs w:val="24"/>
        </w:rPr>
        <w:t xml:space="preserve">processing used the most frequent imputation and one-hot encoding, with unknown-category handling. This approach avoids runtime failure when unseen categories appear in new data and preserves </w:t>
      </w:r>
      <w:r w:rsidR="007C0045" w:rsidRPr="009B19EA">
        <w:rPr>
          <w:rFonts w:cs="Times New Roman"/>
          <w:szCs w:val="24"/>
        </w:rPr>
        <w:t>category-specific signal</w:t>
      </w:r>
      <w:r w:rsidR="00A419AC" w:rsidRPr="009B19EA">
        <w:rPr>
          <w:rFonts w:eastAsia="Malgun Gothic" w:cs="Times New Roman"/>
          <w:szCs w:val="24"/>
          <w:lang w:eastAsia="ko-KR"/>
        </w:rPr>
        <w:t>s</w:t>
      </w:r>
      <w:r w:rsidR="007C0045" w:rsidRPr="009B19EA">
        <w:rPr>
          <w:rFonts w:cs="Times New Roman"/>
          <w:szCs w:val="24"/>
        </w:rPr>
        <w:t xml:space="preserve"> without having seen the heading or genius groups period from an interpretability standpoint. One-hot encoding also enables direct examination of category-level</w:t>
      </w:r>
      <w:r w:rsidRPr="009B19EA">
        <w:rPr>
          <w:rFonts w:cs="Times New Roman"/>
          <w:szCs w:val="24"/>
        </w:rPr>
        <w:t xml:space="preserve"> coefficient magnitudes in the baseline model.</w:t>
      </w:r>
      <w:r w:rsidR="007C0045" w:rsidRPr="009B19EA">
        <w:rPr>
          <w:rFonts w:cs="Times New Roman"/>
          <w:szCs w:val="24"/>
        </w:rPr>
        <w:t xml:space="preserve"> </w:t>
      </w:r>
    </w:p>
    <w:p w14:paraId="4C0782B0" w14:textId="4F23918A" w:rsidR="007C0045" w:rsidRPr="009B19EA" w:rsidRDefault="007C0045" w:rsidP="009B19EA">
      <w:pPr>
        <w:ind w:firstLine="720"/>
        <w:jc w:val="both"/>
        <w:rPr>
          <w:rFonts w:cs="Times New Roman"/>
          <w:szCs w:val="24"/>
        </w:rPr>
      </w:pPr>
      <w:r w:rsidRPr="009B19EA">
        <w:rPr>
          <w:rFonts w:cs="Times New Roman"/>
          <w:szCs w:val="24"/>
        </w:rPr>
        <w:t xml:space="preserve">The baseline classifier was logistic regression with </w:t>
      </w:r>
      <w:proofErr w:type="spellStart"/>
      <w:r w:rsidRPr="009B19EA">
        <w:rPr>
          <w:rFonts w:cs="Times New Roman"/>
          <w:szCs w:val="24"/>
        </w:rPr>
        <w:t>max_iter</w:t>
      </w:r>
      <w:proofErr w:type="spellEnd"/>
      <w:r w:rsidRPr="009B19EA">
        <w:rPr>
          <w:rFonts w:cs="Times New Roman"/>
          <w:szCs w:val="24"/>
        </w:rPr>
        <w:t xml:space="preserve"> set to 2000 and </w:t>
      </w:r>
      <w:proofErr w:type="spellStart"/>
      <w:r w:rsidRPr="009B19EA">
        <w:rPr>
          <w:rFonts w:cs="Times New Roman"/>
          <w:szCs w:val="24"/>
        </w:rPr>
        <w:t>class_weight</w:t>
      </w:r>
      <w:proofErr w:type="spellEnd"/>
      <w:r w:rsidRPr="009B19EA">
        <w:rPr>
          <w:rFonts w:cs="Times New Roman"/>
          <w:szCs w:val="24"/>
        </w:rPr>
        <w:t xml:space="preserve"> set to balanced. This configuration improves convergence reliability in high-dimensional one-hot</w:t>
      </w:r>
      <w:r w:rsidR="00A419AC" w:rsidRPr="009B19EA">
        <w:rPr>
          <w:rFonts w:eastAsia="Malgun Gothic" w:cs="Times New Roman"/>
          <w:szCs w:val="24"/>
          <w:lang w:eastAsia="ko-KR"/>
        </w:rPr>
        <w:t xml:space="preserve"> encoded</w:t>
      </w:r>
      <w:r w:rsidRPr="009B19EA">
        <w:rPr>
          <w:rFonts w:cs="Times New Roman"/>
          <w:szCs w:val="24"/>
        </w:rPr>
        <w:t xml:space="preserve"> spaces and compensates for class dash distribution effects by reweighting </w:t>
      </w:r>
      <w:r w:rsidR="00A419AC" w:rsidRPr="009B19EA">
        <w:rPr>
          <w:rFonts w:eastAsia="Malgun Gothic" w:cs="Times New Roman"/>
          <w:szCs w:val="24"/>
          <w:lang w:eastAsia="ko-KR"/>
        </w:rPr>
        <w:t>loss</w:t>
      </w:r>
      <w:r w:rsidRPr="009B19EA">
        <w:rPr>
          <w:rFonts w:cs="Times New Roman"/>
          <w:szCs w:val="24"/>
        </w:rPr>
        <w:t xml:space="preserve"> contributions. Logistic regression was selected as the anchor model because it offers transparent directional interpretation through standardized coefficients and supports clinically intuitive probability outputs.</w:t>
      </w:r>
    </w:p>
    <w:p w14:paraId="7E9CC89F" w14:textId="28543B76" w:rsidR="003B2D7E" w:rsidRPr="009B19EA" w:rsidRDefault="007C0045" w:rsidP="009B19EA">
      <w:pPr>
        <w:ind w:firstLine="720"/>
        <w:jc w:val="both"/>
        <w:rPr>
          <w:rFonts w:eastAsia="Malgun Gothic" w:cs="Times New Roman"/>
          <w:szCs w:val="24"/>
          <w:lang w:eastAsia="ko-KR"/>
        </w:rPr>
      </w:pPr>
      <w:r w:rsidRPr="009B19EA">
        <w:rPr>
          <w:rFonts w:cs="Times New Roman"/>
          <w:szCs w:val="24"/>
        </w:rPr>
        <w:t xml:space="preserve">A random forest classifier was used as the comparison model to capture nonlinear structure and interaction effects. Hyperparameters included 300 trees, a </w:t>
      </w:r>
      <w:proofErr w:type="spellStart"/>
      <w:r w:rsidRPr="009B19EA">
        <w:rPr>
          <w:rFonts w:cs="Times New Roman"/>
          <w:szCs w:val="24"/>
        </w:rPr>
        <w:t>min_samples_split</w:t>
      </w:r>
      <w:proofErr w:type="spellEnd"/>
      <w:r w:rsidRPr="009B19EA">
        <w:rPr>
          <w:rFonts w:cs="Times New Roman"/>
          <w:szCs w:val="24"/>
        </w:rPr>
        <w:t xml:space="preserve"> of 5, a </w:t>
      </w:r>
      <w:r w:rsidRPr="009B19EA">
        <w:rPr>
          <w:rFonts w:cs="Times New Roman"/>
          <w:szCs w:val="24"/>
        </w:rPr>
        <w:lastRenderedPageBreak/>
        <w:t>min_samples_leaf of 2, a class</w:t>
      </w:r>
      <w:r w:rsidR="00A419AC" w:rsidRPr="009B19EA">
        <w:rPr>
          <w:rFonts w:eastAsia="Malgun Gothic" w:cs="Times New Roman"/>
          <w:szCs w:val="24"/>
          <w:lang w:eastAsia="ko-KR"/>
        </w:rPr>
        <w:t xml:space="preserve"> </w:t>
      </w:r>
      <w:r w:rsidRPr="009B19EA">
        <w:rPr>
          <w:rFonts w:cs="Times New Roman"/>
          <w:szCs w:val="24"/>
        </w:rPr>
        <w:t xml:space="preserve">weight of balanced_subsample, and a fixed random seed for reproducibility. The </w:t>
      </w:r>
      <w:r w:rsidR="00A419AC" w:rsidRPr="009B19EA">
        <w:rPr>
          <w:rFonts w:eastAsia="Malgun Gothic" w:cs="Times New Roman"/>
          <w:szCs w:val="24"/>
          <w:lang w:eastAsia="ko-KR"/>
        </w:rPr>
        <w:t>forest</w:t>
      </w:r>
      <w:r w:rsidRPr="009B19EA">
        <w:rPr>
          <w:rFonts w:cs="Times New Roman"/>
          <w:szCs w:val="24"/>
        </w:rPr>
        <w:t xml:space="preserve"> was trained on the same transformed feature space to isolate algorithmic differences rather than confound model comparisons with data-processing changes.</w:t>
      </w:r>
    </w:p>
    <w:p w14:paraId="01EAD105" w14:textId="4279DA09" w:rsidR="00435AEC" w:rsidRPr="009B19EA" w:rsidRDefault="007C0045" w:rsidP="009B19EA">
      <w:pPr>
        <w:ind w:firstLine="720"/>
        <w:jc w:val="both"/>
        <w:rPr>
          <w:rFonts w:eastAsia="Malgun Gothic" w:cs="Times New Roman"/>
          <w:szCs w:val="24"/>
          <w:lang w:eastAsia="ko-KR"/>
        </w:rPr>
      </w:pPr>
      <w:r w:rsidRPr="009B19EA">
        <w:rPr>
          <w:rFonts w:cs="Times New Roman"/>
          <w:szCs w:val="24"/>
        </w:rPr>
        <w:t xml:space="preserve">Evaluation metrics included Accuracy, Precision, Recall, F1 score, and ROC-AUC, supplemented by a confusion matrix and ROC visual diagnostics. This </w:t>
      </w:r>
      <w:r w:rsidR="00A419AC" w:rsidRPr="009B19EA">
        <w:rPr>
          <w:rFonts w:eastAsia="Malgun Gothic" w:cs="Times New Roman"/>
          <w:szCs w:val="24"/>
          <w:lang w:eastAsia="ko-KR"/>
        </w:rPr>
        <w:t>metric</w:t>
      </w:r>
      <w:r w:rsidRPr="009B19EA">
        <w:rPr>
          <w:rFonts w:cs="Times New Roman"/>
          <w:szCs w:val="24"/>
        </w:rPr>
        <w:t xml:space="preserve"> set was chosen because healthcare use cases require explicit trade</w:t>
      </w:r>
      <w:r w:rsidR="00435AEC" w:rsidRPr="009B19EA">
        <w:rPr>
          <w:rFonts w:cs="Times New Roman"/>
          <w:szCs w:val="24"/>
        </w:rPr>
        <w:t>-</w:t>
      </w:r>
      <w:r w:rsidRPr="009B19EA">
        <w:rPr>
          <w:rFonts w:cs="Times New Roman"/>
          <w:szCs w:val="24"/>
        </w:rPr>
        <w:t xml:space="preserve">off management: precision reflects </w:t>
      </w:r>
      <w:r w:rsidR="00435AEC" w:rsidRPr="009B19EA">
        <w:rPr>
          <w:rFonts w:cs="Times New Roman"/>
          <w:szCs w:val="24"/>
        </w:rPr>
        <w:t xml:space="preserve">the </w:t>
      </w:r>
      <w:r w:rsidRPr="009B19EA">
        <w:rPr>
          <w:rFonts w:cs="Times New Roman"/>
          <w:szCs w:val="24"/>
        </w:rPr>
        <w:t xml:space="preserve">false-positive burden, recall reflects </w:t>
      </w:r>
      <w:r w:rsidR="00435AEC" w:rsidRPr="009B19EA">
        <w:rPr>
          <w:rFonts w:cs="Times New Roman"/>
          <w:szCs w:val="24"/>
        </w:rPr>
        <w:t xml:space="preserve">the </w:t>
      </w:r>
      <w:r w:rsidRPr="009B19EA">
        <w:rPr>
          <w:rFonts w:cs="Times New Roman"/>
          <w:szCs w:val="24"/>
        </w:rPr>
        <w:t>missed-case risk</w:t>
      </w:r>
      <w:r w:rsidR="00435AEC" w:rsidRPr="009B19EA">
        <w:rPr>
          <w:rFonts w:cs="Times New Roman"/>
          <w:szCs w:val="24"/>
        </w:rPr>
        <w:t>, and F1 summarizes their balance. ROC-AUC was interpreted as a measure of discrimination capacity across thresholds rather than as direct policy guidance.</w:t>
      </w:r>
    </w:p>
    <w:p w14:paraId="372860D3" w14:textId="57AE5FA3" w:rsidR="00435AEC" w:rsidRPr="009B19EA" w:rsidRDefault="00435AEC" w:rsidP="009B19EA">
      <w:pPr>
        <w:ind w:firstLine="720"/>
        <w:jc w:val="both"/>
        <w:rPr>
          <w:rFonts w:eastAsia="Malgun Gothic" w:cs="Times New Roman"/>
          <w:szCs w:val="24"/>
          <w:lang w:eastAsia="ko-KR"/>
        </w:rPr>
      </w:pPr>
      <w:r w:rsidRPr="009B19EA">
        <w:rPr>
          <w:rFonts w:cs="Times New Roman"/>
          <w:szCs w:val="24"/>
        </w:rPr>
        <w:t xml:space="preserve">To move from descriptive performance to development-ready decision logic, the random </w:t>
      </w:r>
      <w:r w:rsidR="00A419AC" w:rsidRPr="009B19EA">
        <w:rPr>
          <w:rFonts w:eastAsia="Malgun Gothic" w:cs="Times New Roman"/>
          <w:szCs w:val="24"/>
          <w:lang w:eastAsia="ko-KR"/>
        </w:rPr>
        <w:t>forest</w:t>
      </w:r>
      <w:r w:rsidRPr="009B19EA">
        <w:rPr>
          <w:rFonts w:cs="Times New Roman"/>
          <w:szCs w:val="24"/>
        </w:rPr>
        <w:t xml:space="preserve"> output probabilities were threshold tested at 0.40, 0.50, and 0.60. This sensitivity analysis quantified the marginal</w:t>
      </w:r>
      <w:r w:rsidR="00F06358" w:rsidRPr="009B19EA">
        <w:rPr>
          <w:rFonts w:cs="Times New Roman"/>
          <w:szCs w:val="24"/>
        </w:rPr>
        <w:t xml:space="preserve"> c</w:t>
      </w:r>
      <w:r w:rsidRPr="009B19EA">
        <w:rPr>
          <w:rFonts w:cs="Times New Roman"/>
          <w:szCs w:val="24"/>
        </w:rPr>
        <w:t xml:space="preserve">hanges in precision, recall, and F1 under different intervention strategies. Threshold tuning was intentionally framed as policy-dependent rather than model-dependent, emphasizing that operational </w:t>
      </w:r>
      <w:r w:rsidR="00A419AC" w:rsidRPr="009B19EA">
        <w:rPr>
          <w:rFonts w:eastAsia="Malgun Gothic" w:cs="Times New Roman"/>
          <w:szCs w:val="24"/>
          <w:lang w:eastAsia="ko-KR"/>
        </w:rPr>
        <w:t>objectives</w:t>
      </w:r>
      <w:r w:rsidRPr="009B19EA">
        <w:rPr>
          <w:rFonts w:cs="Times New Roman"/>
          <w:szCs w:val="24"/>
        </w:rPr>
        <w:t xml:space="preserve"> determine acceptable error profiles.</w:t>
      </w:r>
    </w:p>
    <w:p w14:paraId="349185D7" w14:textId="5797DE49" w:rsidR="00435AEC" w:rsidRPr="009B19EA" w:rsidRDefault="00435AEC" w:rsidP="009B19EA">
      <w:pPr>
        <w:ind w:firstLine="720"/>
        <w:jc w:val="both"/>
        <w:rPr>
          <w:rFonts w:eastAsia="Malgun Gothic" w:cs="Times New Roman"/>
          <w:szCs w:val="24"/>
          <w:lang w:eastAsia="ko-KR"/>
        </w:rPr>
      </w:pPr>
      <w:r w:rsidRPr="009B19EA">
        <w:rPr>
          <w:rFonts w:cs="Times New Roman"/>
          <w:szCs w:val="24"/>
        </w:rPr>
        <w:t>Feature interpretation proceeded in 2 tracks. For logistic regression, absolute standardized coefficient magnitudes were used to rank influential predictors, and directional signals were reviewed for risk-increasing versus protective tendencies. For random forests, impurity-based feature importance was extracted to identify variables that most effectively partition risk in nonlinear splits. Cross-model consistency was treated as evidence of a robust signal, while differences were interpreted as structural complexity.</w:t>
      </w:r>
    </w:p>
    <w:p w14:paraId="24570485" w14:textId="783769D6" w:rsidR="007168E1" w:rsidRPr="009B19EA" w:rsidRDefault="00435AEC" w:rsidP="009B19EA">
      <w:pPr>
        <w:ind w:firstLine="720"/>
        <w:jc w:val="both"/>
        <w:rPr>
          <w:rFonts w:eastAsia="Malgun Gothic" w:cs="Times New Roman"/>
          <w:szCs w:val="24"/>
          <w:lang w:eastAsia="ko-KR"/>
        </w:rPr>
      </w:pPr>
      <w:r w:rsidRPr="009B19EA">
        <w:rPr>
          <w:rFonts w:cs="Times New Roman"/>
          <w:szCs w:val="24"/>
        </w:rPr>
        <w:t xml:space="preserve">Unsupervised analysis was performed using K-means clustering on continuous behavioral and demographic features: </w:t>
      </w:r>
      <w:r w:rsidR="00A419AC" w:rsidRPr="009B19EA">
        <w:rPr>
          <w:rFonts w:eastAsia="Malgun Gothic" w:cs="Times New Roman"/>
          <w:szCs w:val="24"/>
          <w:lang w:eastAsia="ko-KR"/>
        </w:rPr>
        <w:t>a</w:t>
      </w:r>
      <w:r w:rsidRPr="009B19EA">
        <w:rPr>
          <w:rFonts w:cs="Times New Roman"/>
          <w:szCs w:val="24"/>
        </w:rPr>
        <w:t xml:space="preserve">ge, BMI, physical activity, screen time, diet score, and sleep duration. </w:t>
      </w:r>
      <w:r w:rsidR="007168E1" w:rsidRPr="009B19EA">
        <w:rPr>
          <w:rFonts w:cs="Times New Roman"/>
          <w:szCs w:val="24"/>
        </w:rPr>
        <w:t>Clinical</w:t>
      </w:r>
      <w:r w:rsidR="00A419AC" w:rsidRPr="009B19EA">
        <w:rPr>
          <w:rFonts w:eastAsia="Malgun Gothic" w:cs="Times New Roman"/>
          <w:szCs w:val="24"/>
          <w:lang w:eastAsia="ko-KR"/>
        </w:rPr>
        <w:t xml:space="preserve"> d</w:t>
      </w:r>
      <w:r w:rsidR="007168E1" w:rsidRPr="009B19EA">
        <w:rPr>
          <w:rFonts w:cs="Times New Roman"/>
          <w:szCs w:val="24"/>
        </w:rPr>
        <w:t>iagnostic markers such as fasting glucose and HbA1c were intentionally</w:t>
      </w:r>
      <w:r w:rsidR="00F06358" w:rsidRPr="009B19EA">
        <w:rPr>
          <w:rFonts w:cs="Times New Roman"/>
          <w:szCs w:val="24"/>
        </w:rPr>
        <w:t xml:space="preserve"> e</w:t>
      </w:r>
      <w:r w:rsidR="007168E1" w:rsidRPr="009B19EA">
        <w:rPr>
          <w:rFonts w:cs="Times New Roman"/>
          <w:szCs w:val="24"/>
        </w:rPr>
        <w:t xml:space="preserve">xcluded to </w:t>
      </w:r>
      <w:r w:rsidR="007168E1" w:rsidRPr="009B19EA">
        <w:rPr>
          <w:rFonts w:cs="Times New Roman"/>
          <w:szCs w:val="24"/>
        </w:rPr>
        <w:lastRenderedPageBreak/>
        <w:t>prevent trivial segmentation by known disease state. This design tested whether preclinical profiles could emerge from behavior and context alone.</w:t>
      </w:r>
    </w:p>
    <w:p w14:paraId="656A9121" w14:textId="00E43659" w:rsidR="007168E1" w:rsidRPr="009B19EA" w:rsidRDefault="007168E1" w:rsidP="009B19EA">
      <w:pPr>
        <w:ind w:firstLine="720"/>
        <w:jc w:val="both"/>
        <w:rPr>
          <w:rFonts w:eastAsia="Malgun Gothic" w:cs="Times New Roman"/>
          <w:szCs w:val="24"/>
          <w:lang w:eastAsia="ko-KR"/>
        </w:rPr>
      </w:pPr>
      <w:r w:rsidRPr="009B19EA">
        <w:rPr>
          <w:rFonts w:cs="Times New Roman"/>
          <w:szCs w:val="24"/>
        </w:rPr>
        <w:t xml:space="preserve">Features used for clustering were standardized before fitting K-means with K = 3, random_state = 42, and n_init = 10. </w:t>
      </w:r>
      <w:r w:rsidR="00F06358" w:rsidRPr="009B19EA">
        <w:rPr>
          <w:rFonts w:cs="Times New Roman"/>
          <w:szCs w:val="24"/>
        </w:rPr>
        <w:t>Specific</w:t>
      </w:r>
      <w:r w:rsidRPr="009B19EA">
        <w:rPr>
          <w:rFonts w:cs="Times New Roman"/>
          <w:szCs w:val="24"/>
        </w:rPr>
        <w:t xml:space="preserve"> labels were then merged back to the </w:t>
      </w:r>
      <w:r w:rsidR="00F06358" w:rsidRPr="009B19EA">
        <w:rPr>
          <w:rFonts w:cs="Times New Roman"/>
          <w:szCs w:val="24"/>
        </w:rPr>
        <w:t>complete</w:t>
      </w:r>
      <w:r w:rsidRPr="009B19EA">
        <w:rPr>
          <w:rFonts w:cs="Times New Roman"/>
          <w:szCs w:val="24"/>
        </w:rPr>
        <w:t xml:space="preserve"> dataset for post hoc validation against the actual diagnosed</w:t>
      </w:r>
      <w:r w:rsidR="00A419AC" w:rsidRPr="009B19EA">
        <w:rPr>
          <w:rFonts w:eastAsia="Malgun Gothic" w:cs="Times New Roman"/>
          <w:szCs w:val="24"/>
          <w:lang w:eastAsia="ko-KR"/>
        </w:rPr>
        <w:t>_</w:t>
      </w:r>
      <w:r w:rsidRPr="009B19EA">
        <w:rPr>
          <w:rFonts w:cs="Times New Roman"/>
          <w:szCs w:val="24"/>
        </w:rPr>
        <w:t>diabetes prevalence. Because clustering was unsupervised, prevalence differences across clusters provided an external validity check rather than an optimized target.</w:t>
      </w:r>
    </w:p>
    <w:p w14:paraId="65507706" w14:textId="4E05B4B2" w:rsidR="007168E1" w:rsidRPr="009B19EA" w:rsidRDefault="007168E1" w:rsidP="009B19EA">
      <w:pPr>
        <w:ind w:firstLine="720"/>
        <w:jc w:val="both"/>
        <w:rPr>
          <w:rFonts w:eastAsia="Malgun Gothic" w:cs="Times New Roman"/>
          <w:szCs w:val="24"/>
          <w:lang w:eastAsia="ko-KR"/>
        </w:rPr>
      </w:pPr>
      <w:r w:rsidRPr="009B19EA">
        <w:rPr>
          <w:rFonts w:cs="Times New Roman"/>
          <w:szCs w:val="24"/>
        </w:rPr>
        <w:t xml:space="preserve">Visualization techniques included comparative bar charts for model metrics, ROC overlays, feature importance plots, cluster-wise boxplots, and a physical-activity-versus-BMI </w:t>
      </w:r>
      <w:r w:rsidR="00A419AC" w:rsidRPr="009B19EA">
        <w:rPr>
          <w:rFonts w:eastAsia="Malgun Gothic" w:cs="Times New Roman"/>
          <w:szCs w:val="24"/>
          <w:lang w:eastAsia="ko-KR"/>
        </w:rPr>
        <w:t>s</w:t>
      </w:r>
      <w:r w:rsidRPr="009B19EA">
        <w:rPr>
          <w:rFonts w:cs="Times New Roman"/>
          <w:szCs w:val="24"/>
        </w:rPr>
        <w:t xml:space="preserve">catter </w:t>
      </w:r>
      <w:r w:rsidR="00A419AC" w:rsidRPr="009B19EA">
        <w:rPr>
          <w:rFonts w:eastAsia="Malgun Gothic" w:cs="Times New Roman"/>
          <w:szCs w:val="24"/>
          <w:lang w:eastAsia="ko-KR"/>
        </w:rPr>
        <w:t>plot</w:t>
      </w:r>
      <w:r w:rsidRPr="009B19EA">
        <w:rPr>
          <w:rFonts w:cs="Times New Roman"/>
          <w:szCs w:val="24"/>
        </w:rPr>
        <w:t xml:space="preserve"> by cluster. Visual outputs were interpreted as communication tools to connect technical findings with actionable narratives for non-technical stakeholders, not merely as presentation artifacts.</w:t>
      </w:r>
    </w:p>
    <w:p w14:paraId="38694B69" w14:textId="39992591" w:rsidR="007168E1" w:rsidRPr="009B19EA" w:rsidRDefault="008D3125" w:rsidP="009B19EA">
      <w:pPr>
        <w:ind w:firstLine="720"/>
        <w:jc w:val="both"/>
        <w:rPr>
          <w:rFonts w:cs="Times New Roman"/>
          <w:szCs w:val="24"/>
        </w:rPr>
      </w:pPr>
      <w:r w:rsidRPr="009B19EA">
        <w:rPr>
          <w:rFonts w:cs="Times New Roman"/>
          <w:szCs w:val="24"/>
        </w:rPr>
        <w:t>Methodological limitations were also acknowledged within the design. Results reflect a single train-test split rather than repeated cross-validation, and feature importance from tree models may distribute credits for correlated signals unevenly. Even so, the combined use of linear and nonlinear models, threshold analysis, and unsupervised validation provides stronger triangulation than single-model reporting and is appropriate for the project scope.</w:t>
      </w:r>
    </w:p>
    <w:p w14:paraId="7982D54D" w14:textId="77777777" w:rsidR="008D3125" w:rsidRPr="009B19EA" w:rsidRDefault="008D3125" w:rsidP="009B19EA">
      <w:pPr>
        <w:jc w:val="both"/>
        <w:rPr>
          <w:rFonts w:cs="Times New Roman"/>
          <w:szCs w:val="24"/>
        </w:rPr>
      </w:pPr>
    </w:p>
    <w:p w14:paraId="7E381456" w14:textId="58030EBA" w:rsidR="008D3125" w:rsidRPr="00696CA8" w:rsidRDefault="008D3125" w:rsidP="009B19EA">
      <w:pPr>
        <w:jc w:val="center"/>
        <w:rPr>
          <w:rFonts w:eastAsia="Malgun Gothic" w:cs="Times New Roman"/>
          <w:b/>
          <w:bCs/>
          <w:color w:val="365F91" w:themeColor="accent1" w:themeShade="BF"/>
          <w:szCs w:val="24"/>
          <w:lang w:eastAsia="ko-KR"/>
        </w:rPr>
      </w:pPr>
      <w:r w:rsidRPr="009B19EA">
        <w:rPr>
          <w:rFonts w:eastAsiaTheme="majorEastAsia" w:cs="Times New Roman"/>
          <w:b/>
          <w:bCs/>
          <w:color w:val="365F91" w:themeColor="accent1" w:themeShade="BF"/>
          <w:szCs w:val="24"/>
        </w:rPr>
        <w:t>Results and Findings</w:t>
      </w:r>
    </w:p>
    <w:p w14:paraId="1BE9CD37" w14:textId="0858D6AE" w:rsidR="008D3125" w:rsidRPr="00696CA8" w:rsidRDefault="008D3125" w:rsidP="00696CA8">
      <w:pPr>
        <w:ind w:firstLine="720"/>
        <w:jc w:val="both"/>
        <w:rPr>
          <w:rFonts w:eastAsia="Malgun Gothic" w:cs="Times New Roman"/>
          <w:szCs w:val="24"/>
          <w:lang w:eastAsia="ko-KR"/>
        </w:rPr>
      </w:pPr>
      <w:r w:rsidRPr="009B19EA">
        <w:rPr>
          <w:rFonts w:cs="Times New Roman"/>
          <w:szCs w:val="24"/>
        </w:rPr>
        <w:t xml:space="preserve">The logistic regression baseline delivered strong initial performance, with </w:t>
      </w:r>
      <w:r w:rsidR="00A419AC" w:rsidRPr="009B19EA">
        <w:rPr>
          <w:rFonts w:eastAsia="Malgun Gothic" w:cs="Times New Roman"/>
          <w:szCs w:val="24"/>
          <w:lang w:eastAsia="ko-KR"/>
        </w:rPr>
        <w:t>an a</w:t>
      </w:r>
      <w:r w:rsidRPr="009B19EA">
        <w:rPr>
          <w:rFonts w:cs="Times New Roman"/>
          <w:szCs w:val="24"/>
        </w:rPr>
        <w:t xml:space="preserve">ccuracy of 0.887, Precision of 0.931, Recall of 0.877, F1 of 0.903, and </w:t>
      </w:r>
      <w:bookmarkStart w:id="0" w:name="OLE_LINK2"/>
      <w:r w:rsidRPr="009B19EA">
        <w:rPr>
          <w:rFonts w:cs="Times New Roman"/>
          <w:szCs w:val="24"/>
        </w:rPr>
        <w:t>ROC-AUC of 0.934</w:t>
      </w:r>
      <w:bookmarkEnd w:id="0"/>
      <w:r w:rsidRPr="009B19EA">
        <w:rPr>
          <w:rFonts w:cs="Times New Roman"/>
          <w:szCs w:val="24"/>
        </w:rPr>
        <w:t xml:space="preserve">. The values indicate that a relatively transparent linear model already effectively separates diagnosed from </w:t>
      </w:r>
      <w:r w:rsidRPr="009B19EA">
        <w:rPr>
          <w:rFonts w:cs="Times New Roman"/>
          <w:szCs w:val="24"/>
        </w:rPr>
        <w:lastRenderedPageBreak/>
        <w:t>non-diagnosed cases in this dataset. In practical terms, the baseline</w:t>
      </w:r>
      <w:r w:rsidR="00A419AC" w:rsidRPr="009B19EA">
        <w:rPr>
          <w:rFonts w:eastAsia="Malgun Gothic" w:cs="Times New Roman"/>
          <w:szCs w:val="24"/>
          <w:lang w:eastAsia="ko-KR"/>
        </w:rPr>
        <w:t xml:space="preserve"> c</w:t>
      </w:r>
      <w:r w:rsidRPr="009B19EA">
        <w:rPr>
          <w:rFonts w:cs="Times New Roman"/>
          <w:szCs w:val="24"/>
        </w:rPr>
        <w:t xml:space="preserve">an support high confidence risk flagging while retaining substantial sensitivity to </w:t>
      </w:r>
      <w:r w:rsidR="00F06358" w:rsidRPr="009B19EA">
        <w:rPr>
          <w:rFonts w:cs="Times New Roman"/>
          <w:szCs w:val="24"/>
        </w:rPr>
        <w:t>actual</w:t>
      </w:r>
      <w:r w:rsidRPr="009B19EA">
        <w:rPr>
          <w:rFonts w:cs="Times New Roman"/>
          <w:szCs w:val="24"/>
        </w:rPr>
        <w:t xml:space="preserve"> cases.</w:t>
      </w:r>
    </w:p>
    <w:p w14:paraId="67D5A658" w14:textId="53309445" w:rsidR="00162811" w:rsidRPr="00696CA8" w:rsidRDefault="008D3125" w:rsidP="00696CA8">
      <w:pPr>
        <w:ind w:firstLine="720"/>
        <w:jc w:val="both"/>
        <w:rPr>
          <w:rFonts w:eastAsia="Malgun Gothic" w:cs="Times New Roman"/>
          <w:szCs w:val="24"/>
          <w:lang w:eastAsia="ko-KR"/>
        </w:rPr>
      </w:pPr>
      <w:r w:rsidRPr="009B19EA">
        <w:rPr>
          <w:rFonts w:cs="Times New Roman"/>
          <w:szCs w:val="24"/>
        </w:rPr>
        <w:t>The baseline confusion profile suggests a clinical</w:t>
      </w:r>
      <w:r w:rsidR="00162811" w:rsidRPr="009B19EA">
        <w:rPr>
          <w:rFonts w:cs="Times New Roman"/>
          <w:szCs w:val="24"/>
        </w:rPr>
        <w:t>ly r</w:t>
      </w:r>
      <w:r w:rsidRPr="009B19EA">
        <w:rPr>
          <w:rFonts w:cs="Times New Roman"/>
          <w:szCs w:val="24"/>
        </w:rPr>
        <w:t>elevant but manageable trade-off: precision exceeded recall</w:t>
      </w:r>
      <w:r w:rsidR="00162811" w:rsidRPr="009B19EA">
        <w:rPr>
          <w:rFonts w:cs="Times New Roman"/>
          <w:szCs w:val="24"/>
        </w:rPr>
        <w:t xml:space="preserve">, meaning the model was more conservative in </w:t>
      </w:r>
      <w:r w:rsidR="00F06358" w:rsidRPr="009B19EA">
        <w:rPr>
          <w:rFonts w:cs="Times New Roman"/>
          <w:szCs w:val="24"/>
        </w:rPr>
        <w:t>optimistic</w:t>
      </w:r>
      <w:r w:rsidR="00162811" w:rsidRPr="009B19EA">
        <w:rPr>
          <w:rFonts w:cs="Times New Roman"/>
          <w:szCs w:val="24"/>
        </w:rPr>
        <w:t xml:space="preserve"> predictions than in broad case capture. In screening workflows, this implies fewer unnecessary escalations, but some at-risk individuals may be missed if default thresholds remain unchanged. The presence of this trade-off motivated this project's explicit threshold-governance discussion.</w:t>
      </w:r>
    </w:p>
    <w:p w14:paraId="02534A27" w14:textId="09B50AB7" w:rsidR="00162811" w:rsidRPr="00696CA8" w:rsidRDefault="00162811" w:rsidP="00696CA8">
      <w:pPr>
        <w:ind w:firstLine="720"/>
        <w:jc w:val="both"/>
        <w:rPr>
          <w:rFonts w:eastAsia="Malgun Gothic" w:cs="Times New Roman"/>
          <w:szCs w:val="24"/>
          <w:lang w:eastAsia="ko-KR"/>
        </w:rPr>
      </w:pPr>
      <w:r w:rsidRPr="009B19EA">
        <w:rPr>
          <w:rFonts w:cs="Times New Roman"/>
          <w:szCs w:val="24"/>
        </w:rPr>
        <w:t xml:space="preserve">Coefficient-based interpretation identified HbA1c as the dominant linear driver by a wide margin, followed by fasting glucose and selected socioeconomic indicators, including income and employment categories. This pattern supports a layered risk interpretation: </w:t>
      </w:r>
      <w:r w:rsidR="00A419AC" w:rsidRPr="009B19EA">
        <w:rPr>
          <w:rFonts w:eastAsia="Malgun Gothic" w:cs="Times New Roman"/>
          <w:szCs w:val="24"/>
          <w:lang w:eastAsia="ko-KR"/>
        </w:rPr>
        <w:t>i</w:t>
      </w:r>
      <w:r w:rsidRPr="009B19EA">
        <w:rPr>
          <w:rFonts w:cs="Times New Roman"/>
          <w:szCs w:val="24"/>
        </w:rPr>
        <w:t>mmediate psychological dysregulation dominates short-horizon diagnostic probability, while structural social variables provide a meaningful background risk context. The finding that socioeconomic features remain visible alongside strong biomarkers is particularly relevant for equally focused prevention planning.</w:t>
      </w:r>
    </w:p>
    <w:p w14:paraId="37579274" w14:textId="4C19469D" w:rsidR="00162811" w:rsidRPr="009B19EA" w:rsidRDefault="00162811" w:rsidP="00696CA8">
      <w:pPr>
        <w:ind w:firstLine="720"/>
        <w:jc w:val="both"/>
        <w:rPr>
          <w:rFonts w:cs="Times New Roman"/>
          <w:szCs w:val="24"/>
        </w:rPr>
      </w:pPr>
      <w:r w:rsidRPr="009B19EA">
        <w:rPr>
          <w:rFonts w:cs="Times New Roman"/>
          <w:szCs w:val="24"/>
        </w:rPr>
        <w:t xml:space="preserve">The random </w:t>
      </w:r>
      <w:r w:rsidR="00F43971" w:rsidRPr="009B19EA">
        <w:rPr>
          <w:rFonts w:eastAsia="Malgun Gothic" w:cs="Times New Roman"/>
          <w:szCs w:val="24"/>
          <w:lang w:eastAsia="ko-KR"/>
        </w:rPr>
        <w:t>forest</w:t>
      </w:r>
      <w:r w:rsidRPr="009B19EA">
        <w:rPr>
          <w:rFonts w:cs="Times New Roman"/>
          <w:szCs w:val="24"/>
        </w:rPr>
        <w:t xml:space="preserve"> comparison </w:t>
      </w:r>
      <w:r w:rsidR="00F43971" w:rsidRPr="009B19EA">
        <w:rPr>
          <w:rFonts w:eastAsia="Malgun Gothic" w:cs="Times New Roman"/>
          <w:szCs w:val="24"/>
          <w:lang w:eastAsia="ko-KR"/>
        </w:rPr>
        <w:t>improved</w:t>
      </w:r>
      <w:r w:rsidRPr="009B19EA">
        <w:rPr>
          <w:rFonts w:cs="Times New Roman"/>
          <w:szCs w:val="24"/>
        </w:rPr>
        <w:t xml:space="preserve"> overall discrimination and balanced metrics, </w:t>
      </w:r>
      <w:r w:rsidR="00F43971" w:rsidRPr="009B19EA">
        <w:rPr>
          <w:rFonts w:eastAsia="Malgun Gothic" w:cs="Times New Roman"/>
          <w:szCs w:val="24"/>
          <w:lang w:eastAsia="ko-KR"/>
        </w:rPr>
        <w:t>achieving an a</w:t>
      </w:r>
      <w:r w:rsidRPr="009B19EA">
        <w:rPr>
          <w:rFonts w:cs="Times New Roman"/>
          <w:szCs w:val="24"/>
        </w:rPr>
        <w:t>ccuracy of 0.9</w:t>
      </w:r>
      <w:r w:rsidR="00F43971" w:rsidRPr="009B19EA">
        <w:rPr>
          <w:rFonts w:eastAsia="Malgun Gothic" w:cs="Times New Roman"/>
          <w:szCs w:val="24"/>
          <w:lang w:eastAsia="ko-KR"/>
        </w:rPr>
        <w:t>2</w:t>
      </w:r>
      <w:r w:rsidRPr="009B19EA">
        <w:rPr>
          <w:rFonts w:cs="Times New Roman"/>
          <w:szCs w:val="24"/>
        </w:rPr>
        <w:t xml:space="preserve">0, F1 of 0.928, and ROC-AUC of 0.942, </w:t>
      </w:r>
      <w:r w:rsidR="00F06358" w:rsidRPr="009B19EA">
        <w:rPr>
          <w:rFonts w:cs="Times New Roman"/>
          <w:szCs w:val="24"/>
        </w:rPr>
        <w:t>w</w:t>
      </w:r>
      <w:r w:rsidRPr="009B19EA">
        <w:rPr>
          <w:rFonts w:cs="Times New Roman"/>
          <w:szCs w:val="24"/>
        </w:rPr>
        <w:t>ith precision at 1.0</w:t>
      </w:r>
      <w:r w:rsidR="00F43971" w:rsidRPr="009B19EA">
        <w:rPr>
          <w:rFonts w:eastAsia="Malgun Gothic" w:cs="Times New Roman"/>
          <w:szCs w:val="24"/>
          <w:lang w:eastAsia="ko-KR"/>
        </w:rPr>
        <w:t>0</w:t>
      </w:r>
      <w:r w:rsidRPr="009B19EA">
        <w:rPr>
          <w:rFonts w:cs="Times New Roman"/>
          <w:szCs w:val="24"/>
        </w:rPr>
        <w:t>0 and recall at 0.866 under the default cutoff. This profile indicates excellent certainty when predicting positives but slightly reduced sensitivity relative to baseline recall.</w:t>
      </w:r>
      <w:r w:rsidR="009D7339" w:rsidRPr="009B19EA">
        <w:rPr>
          <w:rFonts w:cs="Times New Roman"/>
          <w:szCs w:val="24"/>
        </w:rPr>
        <w:t xml:space="preserve"> The result exemplifies why superior aggregation metrics do not automatically imply better policy fit without threshold adjustment. </w:t>
      </w:r>
    </w:p>
    <w:p w14:paraId="33D603D4" w14:textId="43312C45" w:rsidR="009D7339" w:rsidRPr="009B19EA" w:rsidRDefault="009D7339" w:rsidP="00696CA8">
      <w:pPr>
        <w:ind w:firstLine="720"/>
        <w:jc w:val="both"/>
        <w:rPr>
          <w:rFonts w:cs="Times New Roman"/>
          <w:szCs w:val="24"/>
        </w:rPr>
      </w:pPr>
      <w:r w:rsidRPr="009B19EA">
        <w:rPr>
          <w:rFonts w:cs="Times New Roman"/>
          <w:szCs w:val="24"/>
        </w:rPr>
        <w:t xml:space="preserve">Threshold testing clarified the operating frontier. At </w:t>
      </w:r>
      <w:r w:rsidR="001B5812" w:rsidRPr="009B19EA">
        <w:rPr>
          <w:rFonts w:eastAsia="Malgun Gothic" w:cs="Times New Roman"/>
          <w:szCs w:val="24"/>
          <w:lang w:eastAsia="ko-KR"/>
        </w:rPr>
        <w:t>a threshold of</w:t>
      </w:r>
      <w:r w:rsidRPr="009B19EA">
        <w:rPr>
          <w:rFonts w:cs="Times New Roman"/>
          <w:szCs w:val="24"/>
        </w:rPr>
        <w:t xml:space="preserve"> 0.40, precision remained very high at 0.994, while recall increased to 0.868</w:t>
      </w:r>
      <w:r w:rsidR="00F06358" w:rsidRPr="009B19EA">
        <w:rPr>
          <w:rFonts w:cs="Times New Roman"/>
          <w:szCs w:val="24"/>
        </w:rPr>
        <w:t>,</w:t>
      </w:r>
      <w:r w:rsidRPr="009B19EA">
        <w:rPr>
          <w:rFonts w:cs="Times New Roman"/>
          <w:szCs w:val="24"/>
        </w:rPr>
        <w:t xml:space="preserve"> at 0.50</w:t>
      </w:r>
      <w:r w:rsidR="001B5812" w:rsidRPr="009B19EA">
        <w:rPr>
          <w:rFonts w:eastAsia="Malgun Gothic" w:cs="Times New Roman"/>
          <w:szCs w:val="24"/>
          <w:lang w:eastAsia="ko-KR"/>
        </w:rPr>
        <w:t xml:space="preserve"> a</w:t>
      </w:r>
      <w:r w:rsidRPr="009B19EA">
        <w:rPr>
          <w:rFonts w:cs="Times New Roman"/>
          <w:szCs w:val="24"/>
        </w:rPr>
        <w:t>nd 0.60, precision reached 1.00</w:t>
      </w:r>
      <w:r w:rsidR="001B5812" w:rsidRPr="009B19EA">
        <w:rPr>
          <w:rFonts w:eastAsia="Malgun Gothic" w:cs="Times New Roman"/>
          <w:szCs w:val="24"/>
          <w:lang w:eastAsia="ko-KR"/>
        </w:rPr>
        <w:t>0 and</w:t>
      </w:r>
      <w:r w:rsidRPr="009B19EA">
        <w:rPr>
          <w:rFonts w:cs="Times New Roman"/>
          <w:szCs w:val="24"/>
        </w:rPr>
        <w:t xml:space="preserve"> </w:t>
      </w:r>
      <w:r w:rsidR="001B5812" w:rsidRPr="009B19EA">
        <w:rPr>
          <w:rFonts w:eastAsia="Malgun Gothic" w:cs="Times New Roman"/>
          <w:szCs w:val="24"/>
          <w:lang w:eastAsia="ko-KR"/>
        </w:rPr>
        <w:t>r</w:t>
      </w:r>
      <w:r w:rsidRPr="009B19EA">
        <w:rPr>
          <w:rFonts w:cs="Times New Roman"/>
          <w:szCs w:val="24"/>
        </w:rPr>
        <w:t xml:space="preserve">ecall at. 0.866. The modest but meaningful recall at a lower threshold demonstrates that even </w:t>
      </w:r>
      <w:r w:rsidRPr="009B19EA">
        <w:rPr>
          <w:rFonts w:cs="Times New Roman"/>
          <w:szCs w:val="24"/>
        </w:rPr>
        <w:lastRenderedPageBreak/>
        <w:t xml:space="preserve">near-ceiling precision models can be tuned towards safer case capture in preventive </w:t>
      </w:r>
      <w:r w:rsidR="001B5812" w:rsidRPr="009B19EA">
        <w:rPr>
          <w:rFonts w:eastAsia="Malgun Gothic" w:cs="Times New Roman"/>
          <w:szCs w:val="24"/>
          <w:lang w:eastAsia="ko-KR"/>
        </w:rPr>
        <w:t>settings</w:t>
      </w:r>
      <w:r w:rsidRPr="009B19EA">
        <w:rPr>
          <w:rFonts w:cs="Times New Roman"/>
          <w:szCs w:val="24"/>
        </w:rPr>
        <w:t xml:space="preserve">. This reinforces the principle that the threshold </w:t>
      </w:r>
      <w:r w:rsidR="001B5812" w:rsidRPr="009B19EA">
        <w:rPr>
          <w:rFonts w:eastAsia="Malgun Gothic" w:cs="Times New Roman"/>
          <w:szCs w:val="24"/>
          <w:lang w:eastAsia="ko-KR"/>
        </w:rPr>
        <w:t>selection</w:t>
      </w:r>
      <w:r w:rsidRPr="009B19EA">
        <w:rPr>
          <w:rFonts w:cs="Times New Roman"/>
          <w:szCs w:val="24"/>
        </w:rPr>
        <w:t xml:space="preserve"> should be tied to intervention cost asymmetry rather than convention.</w:t>
      </w:r>
    </w:p>
    <w:p w14:paraId="58A85FCC" w14:textId="67312CBC" w:rsidR="009D7339" w:rsidRPr="009B19EA" w:rsidRDefault="009D7339" w:rsidP="00696CA8">
      <w:pPr>
        <w:ind w:firstLine="720"/>
        <w:jc w:val="both"/>
        <w:rPr>
          <w:rFonts w:cs="Times New Roman"/>
          <w:szCs w:val="24"/>
        </w:rPr>
      </w:pPr>
      <w:r w:rsidRPr="009B19EA">
        <w:rPr>
          <w:rFonts w:cs="Times New Roman"/>
          <w:szCs w:val="24"/>
        </w:rPr>
        <w:t>Random Forest importance rankings reinforced and extended baseline interpretation. H</w:t>
      </w:r>
      <w:r w:rsidR="001B5812" w:rsidRPr="009B19EA">
        <w:rPr>
          <w:rFonts w:eastAsia="Malgun Gothic" w:cs="Times New Roman"/>
          <w:szCs w:val="24"/>
          <w:lang w:eastAsia="ko-KR"/>
        </w:rPr>
        <w:t>bA1c</w:t>
      </w:r>
      <w:r w:rsidRPr="009B19EA">
        <w:rPr>
          <w:rFonts w:cs="Times New Roman"/>
          <w:szCs w:val="24"/>
        </w:rPr>
        <w:t xml:space="preserve"> (0.4597), postprandial glucose (0.2185), and fasting glucose (0.1086) were the leading predictors, far ahead of many other variables. Compared with linear coefficients, age and BMI gained greater prominence, suggesting that nonlinear or threshold-like relationships are better represented in tree splits than in global linear terms.</w:t>
      </w:r>
    </w:p>
    <w:p w14:paraId="363323A2" w14:textId="1DA56750" w:rsidR="009D7339" w:rsidRPr="009B19EA" w:rsidRDefault="009D7339" w:rsidP="00696CA8">
      <w:pPr>
        <w:ind w:firstLine="720"/>
        <w:jc w:val="both"/>
        <w:rPr>
          <w:rFonts w:cs="Times New Roman"/>
          <w:szCs w:val="24"/>
        </w:rPr>
      </w:pPr>
      <w:r w:rsidRPr="009B19EA">
        <w:rPr>
          <w:rFonts w:cs="Times New Roman"/>
          <w:szCs w:val="24"/>
        </w:rPr>
        <w:t>Exploratory correlation and grouped analysis from earlier notebook stages align with modeled results. Average absolute correlation magnitudes suggest a stronger aggregate signal from demographic and clinical groups than from lifestyle variables alone</w:t>
      </w:r>
      <w:r w:rsidR="00F06358" w:rsidRPr="009B19EA">
        <w:rPr>
          <w:rFonts w:cs="Times New Roman"/>
          <w:szCs w:val="24"/>
        </w:rPr>
        <w:t>.</w:t>
      </w:r>
      <w:r w:rsidRPr="009B19EA">
        <w:rPr>
          <w:rFonts w:cs="Times New Roman"/>
          <w:szCs w:val="24"/>
        </w:rPr>
        <w:t xml:space="preserve"> </w:t>
      </w:r>
      <w:r w:rsidR="00F06358" w:rsidRPr="009B19EA">
        <w:rPr>
          <w:rFonts w:cs="Times New Roman"/>
          <w:szCs w:val="24"/>
        </w:rPr>
        <w:t>However,</w:t>
      </w:r>
      <w:r w:rsidRPr="009B19EA">
        <w:rPr>
          <w:rFonts w:cs="Times New Roman"/>
          <w:szCs w:val="24"/>
        </w:rPr>
        <w:t xml:space="preserve"> lifestyle </w:t>
      </w:r>
      <w:r w:rsidR="00F06358" w:rsidRPr="009B19EA">
        <w:rPr>
          <w:rFonts w:cs="Times New Roman"/>
          <w:szCs w:val="24"/>
        </w:rPr>
        <w:t xml:space="preserve">factors </w:t>
      </w:r>
      <w:r w:rsidR="001E15B0" w:rsidRPr="009B19EA">
        <w:rPr>
          <w:rFonts w:cs="Times New Roman"/>
          <w:szCs w:val="24"/>
        </w:rPr>
        <w:t>s</w:t>
      </w:r>
      <w:r w:rsidRPr="009B19EA">
        <w:rPr>
          <w:rFonts w:cs="Times New Roman"/>
          <w:szCs w:val="24"/>
        </w:rPr>
        <w:t xml:space="preserve">till contributed </w:t>
      </w:r>
      <w:r w:rsidR="00F06358" w:rsidRPr="009B19EA">
        <w:rPr>
          <w:rFonts w:cs="Times New Roman"/>
          <w:szCs w:val="24"/>
        </w:rPr>
        <w:t xml:space="preserve">to </w:t>
      </w:r>
      <w:r w:rsidRPr="009B19EA">
        <w:rPr>
          <w:rFonts w:cs="Times New Roman"/>
          <w:szCs w:val="24"/>
        </w:rPr>
        <w:t xml:space="preserve">actionable </w:t>
      </w:r>
      <w:r w:rsidR="001B5812" w:rsidRPr="009B19EA">
        <w:rPr>
          <w:rFonts w:eastAsia="Malgun Gothic" w:cs="Times New Roman"/>
          <w:szCs w:val="24"/>
          <w:lang w:eastAsia="ko-KR"/>
        </w:rPr>
        <w:t>variance</w:t>
      </w:r>
      <w:r w:rsidRPr="009B19EA">
        <w:rPr>
          <w:rFonts w:cs="Times New Roman"/>
          <w:szCs w:val="24"/>
        </w:rPr>
        <w:t>, especially physical activity and diet</w:t>
      </w:r>
      <w:r w:rsidR="00F06358" w:rsidRPr="009B19EA">
        <w:rPr>
          <w:rFonts w:cs="Times New Roman"/>
          <w:szCs w:val="24"/>
        </w:rPr>
        <w:t>ary</w:t>
      </w:r>
      <w:r w:rsidRPr="009B19EA">
        <w:rPr>
          <w:rFonts w:cs="Times New Roman"/>
          <w:szCs w:val="24"/>
        </w:rPr>
        <w:t xml:space="preserve"> quality. This convergence across descriptive and predictive</w:t>
      </w:r>
      <w:r w:rsidR="001E15B0" w:rsidRPr="009B19EA">
        <w:rPr>
          <w:rFonts w:cs="Times New Roman"/>
          <w:szCs w:val="24"/>
        </w:rPr>
        <w:t xml:space="preserve"> analyses increases confidence that the findings are not artifacts of a single method.</w:t>
      </w:r>
    </w:p>
    <w:p w14:paraId="649A99E0" w14:textId="7D4E9B6B" w:rsidR="001E15B0" w:rsidRPr="009B19EA" w:rsidRDefault="001E15B0" w:rsidP="00696CA8">
      <w:pPr>
        <w:ind w:firstLine="720"/>
        <w:jc w:val="both"/>
        <w:rPr>
          <w:rFonts w:cs="Times New Roman"/>
          <w:szCs w:val="24"/>
        </w:rPr>
      </w:pPr>
      <w:r w:rsidRPr="009B19EA">
        <w:rPr>
          <w:rFonts w:cs="Times New Roman"/>
          <w:szCs w:val="24"/>
        </w:rPr>
        <w:t xml:space="preserve">The unsupervised K-means stage identified </w:t>
      </w:r>
      <w:r w:rsidR="00EA137E" w:rsidRPr="009B19EA">
        <w:rPr>
          <w:rFonts w:eastAsia="Malgun Gothic" w:cs="Times New Roman"/>
          <w:szCs w:val="24"/>
          <w:lang w:eastAsia="ko-KR"/>
        </w:rPr>
        <w:t>three</w:t>
      </w:r>
      <w:r w:rsidRPr="009B19EA">
        <w:rPr>
          <w:rFonts w:cs="Times New Roman"/>
          <w:szCs w:val="24"/>
        </w:rPr>
        <w:t xml:space="preserve"> interpretable behavioral profiles without direct access to </w:t>
      </w:r>
      <w:r w:rsidR="00EA137E" w:rsidRPr="009B19EA">
        <w:rPr>
          <w:rFonts w:eastAsia="Malgun Gothic" w:cs="Times New Roman"/>
          <w:szCs w:val="24"/>
          <w:lang w:eastAsia="ko-KR"/>
        </w:rPr>
        <w:t>d</w:t>
      </w:r>
      <w:r w:rsidRPr="009B19EA">
        <w:rPr>
          <w:rFonts w:cs="Times New Roman"/>
          <w:szCs w:val="24"/>
        </w:rPr>
        <w:t>iagnostic target labels or glycemic lab markers. Cluster 0</w:t>
      </w:r>
      <w:r w:rsidR="00EA137E" w:rsidRPr="009B19EA">
        <w:rPr>
          <w:rFonts w:eastAsia="Malgun Gothic" w:cs="Times New Roman"/>
          <w:szCs w:val="24"/>
          <w:lang w:eastAsia="ko-KR"/>
        </w:rPr>
        <w:t xml:space="preserve"> s</w:t>
      </w:r>
      <w:r w:rsidRPr="009B19EA">
        <w:rPr>
          <w:rFonts w:cs="Times New Roman"/>
          <w:szCs w:val="24"/>
        </w:rPr>
        <w:t xml:space="preserve">howed higher physical activity and </w:t>
      </w:r>
      <w:r w:rsidR="009B19EA" w:rsidRPr="009B19EA">
        <w:rPr>
          <w:rFonts w:eastAsia="Malgun Gothic" w:cs="Times New Roman"/>
          <w:szCs w:val="24"/>
          <w:lang w:eastAsia="ko-KR"/>
        </w:rPr>
        <w:t>low</w:t>
      </w:r>
      <w:r w:rsidRPr="009B19EA">
        <w:rPr>
          <w:rFonts w:cs="Times New Roman"/>
          <w:szCs w:val="24"/>
        </w:rPr>
        <w:t xml:space="preserve"> BMI with the lowest observed diabetes rate (51.64%). Cluster </w:t>
      </w:r>
      <w:r w:rsidR="00EA137E" w:rsidRPr="009B19EA">
        <w:rPr>
          <w:rFonts w:eastAsia="Malgun Gothic" w:cs="Times New Roman"/>
          <w:szCs w:val="24"/>
          <w:lang w:eastAsia="ko-KR"/>
        </w:rPr>
        <w:t>1</w:t>
      </w:r>
      <w:r w:rsidRPr="009B19EA">
        <w:rPr>
          <w:rFonts w:cs="Times New Roman"/>
          <w:szCs w:val="24"/>
        </w:rPr>
        <w:t xml:space="preserve"> was </w:t>
      </w:r>
      <w:r w:rsidR="00F06358" w:rsidRPr="009B19EA">
        <w:rPr>
          <w:rFonts w:cs="Times New Roman"/>
          <w:szCs w:val="24"/>
        </w:rPr>
        <w:t>younger, with low</w:t>
      </w:r>
      <w:r w:rsidR="009B19EA" w:rsidRPr="009B19EA">
        <w:rPr>
          <w:rFonts w:eastAsia="Malgun Gothic" w:cs="Times New Roman"/>
          <w:szCs w:val="24"/>
          <w:lang w:eastAsia="ko-KR"/>
        </w:rPr>
        <w:t>er</w:t>
      </w:r>
      <w:r w:rsidR="00F06358" w:rsidRPr="009B19EA">
        <w:rPr>
          <w:rFonts w:cs="Times New Roman"/>
          <w:szCs w:val="24"/>
        </w:rPr>
        <w:t xml:space="preserve"> BMI but sedentary behavior, and had an intermediate prevalence (56.87%).</w:t>
      </w:r>
      <w:r w:rsidRPr="009B19EA">
        <w:rPr>
          <w:rFonts w:cs="Times New Roman"/>
          <w:szCs w:val="24"/>
        </w:rPr>
        <w:t xml:space="preserve"> Cluster 2 combined older age, low activity, and the highest BMI, with the highest observed prevalence (66.95%).</w:t>
      </w:r>
    </w:p>
    <w:p w14:paraId="6F8FBAC7" w14:textId="261405AB" w:rsidR="001E15B0" w:rsidRPr="009B19EA" w:rsidRDefault="001E15B0" w:rsidP="00696CA8">
      <w:pPr>
        <w:ind w:firstLine="720"/>
        <w:jc w:val="both"/>
        <w:rPr>
          <w:rFonts w:cs="Times New Roman"/>
          <w:szCs w:val="24"/>
        </w:rPr>
      </w:pPr>
      <w:r w:rsidRPr="009B19EA">
        <w:rPr>
          <w:rFonts w:cs="Times New Roman"/>
          <w:szCs w:val="24"/>
        </w:rPr>
        <w:t xml:space="preserve">The cluster validation pattern is operationally </w:t>
      </w:r>
      <w:r w:rsidR="00F06358" w:rsidRPr="009B19EA">
        <w:rPr>
          <w:rFonts w:cs="Times New Roman"/>
          <w:szCs w:val="24"/>
        </w:rPr>
        <w:t>vital</w:t>
      </w:r>
      <w:r w:rsidRPr="009B19EA">
        <w:rPr>
          <w:rFonts w:cs="Times New Roman"/>
          <w:szCs w:val="24"/>
        </w:rPr>
        <w:t xml:space="preserve"> because the algorithm did not optimize on diagnosis labels, prevalence separation across clusters provides independent support for behavioral risk </w:t>
      </w:r>
      <w:r w:rsidR="00EA137E" w:rsidRPr="009B19EA">
        <w:rPr>
          <w:rFonts w:eastAsia="Malgun Gothic" w:cs="Times New Roman"/>
          <w:szCs w:val="24"/>
          <w:lang w:eastAsia="ko-KR"/>
        </w:rPr>
        <w:t>segmentation</w:t>
      </w:r>
      <w:r w:rsidRPr="009B19EA">
        <w:rPr>
          <w:rFonts w:cs="Times New Roman"/>
          <w:szCs w:val="24"/>
        </w:rPr>
        <w:t xml:space="preserve">. In practice, this means organizations can triage outreach populations </w:t>
      </w:r>
      <w:r w:rsidRPr="009B19EA">
        <w:rPr>
          <w:rFonts w:cs="Times New Roman"/>
          <w:szCs w:val="24"/>
        </w:rPr>
        <w:lastRenderedPageBreak/>
        <w:t>with a relatively low-cost demographic and behavioral data before obtaining full lab panels. Such pre-clinical stratification can improve the reach and timing of prevention when resources do not allow universal intensive screening.</w:t>
      </w:r>
    </w:p>
    <w:p w14:paraId="5F6DB847" w14:textId="79E48163" w:rsidR="001E15B0" w:rsidRPr="009B19EA" w:rsidRDefault="001E15B0" w:rsidP="00696CA8">
      <w:pPr>
        <w:ind w:firstLine="720"/>
        <w:jc w:val="both"/>
        <w:rPr>
          <w:rFonts w:cs="Times New Roman"/>
          <w:szCs w:val="24"/>
        </w:rPr>
      </w:pPr>
      <w:r w:rsidRPr="009B19EA">
        <w:rPr>
          <w:rFonts w:cs="Times New Roman"/>
          <w:szCs w:val="24"/>
        </w:rPr>
        <w:t>A cross-method synthesis yields four consolidated findings.</w:t>
      </w:r>
      <w:r w:rsidR="002E5056" w:rsidRPr="009B19EA">
        <w:rPr>
          <w:rFonts w:cs="Times New Roman"/>
          <w:szCs w:val="24"/>
        </w:rPr>
        <w:t xml:space="preserve"> First, </w:t>
      </w:r>
      <w:r w:rsidR="00EA137E" w:rsidRPr="009B19EA">
        <w:rPr>
          <w:rFonts w:eastAsia="Malgun Gothic" w:cs="Times New Roman"/>
          <w:szCs w:val="24"/>
          <w:lang w:eastAsia="ko-KR"/>
        </w:rPr>
        <w:t>physiological</w:t>
      </w:r>
      <w:r w:rsidR="002E5056" w:rsidRPr="009B19EA">
        <w:rPr>
          <w:rFonts w:cs="Times New Roman"/>
          <w:szCs w:val="24"/>
        </w:rPr>
        <w:t xml:space="preserve"> glycemic markers are the strongest direct predictors of diagnosed diabetes. Second, demographic and structural variables contribute materially and often more strongly than isolated lifestyle variables in linear comparison. </w:t>
      </w:r>
      <w:r w:rsidR="00EA137E" w:rsidRPr="009B19EA">
        <w:rPr>
          <w:rFonts w:eastAsia="Malgun Gothic" w:cs="Times New Roman"/>
          <w:szCs w:val="24"/>
          <w:lang w:eastAsia="ko-KR"/>
        </w:rPr>
        <w:t>Third</w:t>
      </w:r>
      <w:r w:rsidR="002E5056" w:rsidRPr="009B19EA">
        <w:rPr>
          <w:rFonts w:cs="Times New Roman"/>
          <w:szCs w:val="24"/>
        </w:rPr>
        <w:t xml:space="preserve">, non-linear modeling reveals additional risk curvature for age and BMI. </w:t>
      </w:r>
      <w:r w:rsidR="00EA137E" w:rsidRPr="009B19EA">
        <w:rPr>
          <w:rFonts w:eastAsia="Malgun Gothic" w:cs="Times New Roman"/>
          <w:szCs w:val="24"/>
          <w:lang w:eastAsia="ko-KR"/>
        </w:rPr>
        <w:t>Fourth</w:t>
      </w:r>
      <w:r w:rsidR="002E5056" w:rsidRPr="009B19EA">
        <w:rPr>
          <w:rFonts w:cs="Times New Roman"/>
          <w:szCs w:val="24"/>
        </w:rPr>
        <w:t>, behavioral segmentation uncovers population groups whose observed prevalence differs substantially, even in the absence of diagnostic features.</w:t>
      </w:r>
    </w:p>
    <w:p w14:paraId="28E22196" w14:textId="2BBF876C" w:rsidR="002E5056" w:rsidRPr="009B19EA" w:rsidRDefault="002E5056" w:rsidP="00696CA8">
      <w:pPr>
        <w:ind w:firstLine="720"/>
        <w:jc w:val="both"/>
        <w:rPr>
          <w:rFonts w:cs="Times New Roman"/>
          <w:szCs w:val="24"/>
        </w:rPr>
      </w:pPr>
      <w:r w:rsidRPr="009B19EA">
        <w:rPr>
          <w:rFonts w:cs="Times New Roman"/>
          <w:szCs w:val="24"/>
        </w:rPr>
        <w:t xml:space="preserve">These findings collectively argue for a layered intervention architecture. A broad first layer can use demographic-behavioral segmentation to prioritize outreach; a second layer can incorporate predictive probabilities from calibrated supervised models; </w:t>
      </w:r>
      <w:r w:rsidR="00EA137E" w:rsidRPr="009B19EA">
        <w:rPr>
          <w:rFonts w:eastAsia="Malgun Gothic" w:cs="Times New Roman"/>
          <w:szCs w:val="24"/>
          <w:lang w:eastAsia="ko-KR"/>
        </w:rPr>
        <w:t xml:space="preserve">and </w:t>
      </w:r>
      <w:r w:rsidRPr="009B19EA">
        <w:rPr>
          <w:rFonts w:cs="Times New Roman"/>
          <w:szCs w:val="24"/>
        </w:rPr>
        <w:t>a third layer can allocate high</w:t>
      </w:r>
      <w:r w:rsidR="00EA137E" w:rsidRPr="009B19EA">
        <w:rPr>
          <w:rFonts w:eastAsia="Malgun Gothic" w:cs="Times New Roman"/>
          <w:szCs w:val="24"/>
          <w:lang w:eastAsia="ko-KR"/>
        </w:rPr>
        <w:t>-</w:t>
      </w:r>
      <w:r w:rsidRPr="009B19EA">
        <w:rPr>
          <w:rFonts w:cs="Times New Roman"/>
          <w:szCs w:val="24"/>
        </w:rPr>
        <w:t>cost to clinical intervention</w:t>
      </w:r>
      <w:r w:rsidR="00EA137E" w:rsidRPr="009B19EA">
        <w:rPr>
          <w:rFonts w:eastAsia="Malgun Gothic" w:cs="Times New Roman"/>
          <w:szCs w:val="24"/>
          <w:lang w:eastAsia="ko-KR"/>
        </w:rPr>
        <w:t>s</w:t>
      </w:r>
      <w:r w:rsidRPr="009B19EA">
        <w:rPr>
          <w:rFonts w:cs="Times New Roman"/>
          <w:szCs w:val="24"/>
        </w:rPr>
        <w:t xml:space="preserve"> for high-confidence or high-need cases. This stage-based approach respects resource constraints while reducing the risk of vulnerable patients being missed early.</w:t>
      </w:r>
    </w:p>
    <w:p w14:paraId="040D2E4E" w14:textId="77770733" w:rsidR="002E5056" w:rsidRPr="009B19EA" w:rsidRDefault="002E5056" w:rsidP="00696CA8">
      <w:pPr>
        <w:ind w:firstLine="720"/>
        <w:jc w:val="both"/>
        <w:rPr>
          <w:rFonts w:cs="Times New Roman"/>
          <w:szCs w:val="24"/>
        </w:rPr>
      </w:pPr>
      <w:r w:rsidRPr="009B19EA">
        <w:rPr>
          <w:rFonts w:cs="Times New Roman"/>
          <w:szCs w:val="24"/>
        </w:rPr>
        <w:t xml:space="preserve">Interpretation must also consider uncertainty boundaries. Performance estimates are conditional on the current data-generating process and may shift due to temporal drift, changing prevalence, or altered coding practices in production environments. Nonetheless, the agreement between linear and nonlinear models on the major predictors, along with coherent clustering validation, suggests that the central conclusions are structurally stable within the project scope. </w:t>
      </w:r>
    </w:p>
    <w:p w14:paraId="64EE09B7" w14:textId="15F09009" w:rsidR="002E5056" w:rsidRPr="009B19EA" w:rsidRDefault="002E5056" w:rsidP="00696CA8">
      <w:pPr>
        <w:ind w:firstLine="720"/>
        <w:jc w:val="both"/>
        <w:rPr>
          <w:rFonts w:eastAsia="Malgun Gothic" w:cs="Times New Roman"/>
          <w:szCs w:val="24"/>
          <w:lang w:eastAsia="ko-KR"/>
        </w:rPr>
      </w:pPr>
      <w:r w:rsidRPr="009B19EA">
        <w:rPr>
          <w:rFonts w:cs="Times New Roman"/>
          <w:szCs w:val="24"/>
        </w:rPr>
        <w:t xml:space="preserve">From an implementation lens, no single metric can represent system success. A program judged only by precision may </w:t>
      </w:r>
      <w:proofErr w:type="spellStart"/>
      <w:r w:rsidRPr="009B19EA">
        <w:rPr>
          <w:rFonts w:cs="Times New Roman"/>
          <w:szCs w:val="24"/>
        </w:rPr>
        <w:t>underdetect</w:t>
      </w:r>
      <w:proofErr w:type="spellEnd"/>
      <w:r w:rsidRPr="009B19EA">
        <w:rPr>
          <w:rFonts w:cs="Times New Roman"/>
          <w:szCs w:val="24"/>
        </w:rPr>
        <w:t xml:space="preserve"> disease, while one judged only by recall may overburden follow-up capacity. The results therefore support </w:t>
      </w:r>
      <w:r w:rsidR="00F06358" w:rsidRPr="009B19EA">
        <w:rPr>
          <w:rFonts w:cs="Times New Roman"/>
          <w:szCs w:val="24"/>
        </w:rPr>
        <w:t xml:space="preserve">the view </w:t>
      </w:r>
      <w:r w:rsidRPr="009B19EA">
        <w:rPr>
          <w:rFonts w:cs="Times New Roman"/>
          <w:szCs w:val="24"/>
        </w:rPr>
        <w:t xml:space="preserve">that governance mechanisms, such as </w:t>
      </w:r>
      <w:r w:rsidRPr="009B19EA">
        <w:rPr>
          <w:rFonts w:cs="Times New Roman"/>
          <w:szCs w:val="24"/>
        </w:rPr>
        <w:lastRenderedPageBreak/>
        <w:t xml:space="preserve">thresholds, outreach criteria, and escalation rules, </w:t>
      </w:r>
      <w:r w:rsidR="00EA137E" w:rsidRPr="009B19EA">
        <w:rPr>
          <w:rFonts w:eastAsia="Malgun Gothic" w:cs="Times New Roman"/>
          <w:szCs w:val="24"/>
          <w:lang w:eastAsia="ko-KR"/>
        </w:rPr>
        <w:t>should be</w:t>
      </w:r>
      <w:r w:rsidRPr="009B19EA">
        <w:rPr>
          <w:rFonts w:cs="Times New Roman"/>
          <w:szCs w:val="24"/>
        </w:rPr>
        <w:t xml:space="preserve"> jointly </w:t>
      </w:r>
      <w:r w:rsidR="00F06358" w:rsidRPr="009B19EA">
        <w:rPr>
          <w:rFonts w:cs="Times New Roman"/>
          <w:szCs w:val="24"/>
        </w:rPr>
        <w:t xml:space="preserve">reviewed </w:t>
      </w:r>
      <w:r w:rsidRPr="009B19EA">
        <w:rPr>
          <w:rFonts w:cs="Times New Roman"/>
          <w:szCs w:val="24"/>
        </w:rPr>
        <w:t>by clinical, operational, and analytic stakeholders at predefined intervals.</w:t>
      </w:r>
    </w:p>
    <w:p w14:paraId="434E7385" w14:textId="19BCD7C7" w:rsidR="002E5056" w:rsidRPr="009B19EA" w:rsidRDefault="002E5056" w:rsidP="00696CA8">
      <w:pPr>
        <w:ind w:firstLine="720"/>
        <w:jc w:val="both"/>
        <w:rPr>
          <w:rFonts w:cs="Times New Roman"/>
          <w:szCs w:val="24"/>
        </w:rPr>
      </w:pPr>
      <w:r w:rsidRPr="009B19EA">
        <w:rPr>
          <w:rFonts w:cs="Times New Roman"/>
          <w:szCs w:val="24"/>
        </w:rPr>
        <w:t xml:space="preserve">Ethical interpretation is equally important. Variables linked to socioeconomic </w:t>
      </w:r>
      <w:r w:rsidR="00EA137E" w:rsidRPr="009B19EA">
        <w:rPr>
          <w:rFonts w:eastAsia="Malgun Gothic" w:cs="Times New Roman"/>
          <w:szCs w:val="24"/>
          <w:lang w:eastAsia="ko-KR"/>
        </w:rPr>
        <w:t>context</w:t>
      </w:r>
      <w:r w:rsidRPr="009B19EA">
        <w:rPr>
          <w:rFonts w:cs="Times New Roman"/>
          <w:szCs w:val="24"/>
        </w:rPr>
        <w:t xml:space="preserve"> can improve </w:t>
      </w:r>
      <w:proofErr w:type="gramStart"/>
      <w:r w:rsidR="00F06358" w:rsidRPr="009B19EA">
        <w:rPr>
          <w:rFonts w:cs="Times New Roman"/>
          <w:szCs w:val="24"/>
        </w:rPr>
        <w:t>prediction, but</w:t>
      </w:r>
      <w:proofErr w:type="gramEnd"/>
      <w:r w:rsidRPr="009B19EA">
        <w:rPr>
          <w:rFonts w:cs="Times New Roman"/>
          <w:szCs w:val="24"/>
        </w:rPr>
        <w:t xml:space="preserve"> also reflect the structural inequalities. Responsible use requires transparency in</w:t>
      </w:r>
      <w:r w:rsidR="00F06358" w:rsidRPr="009B19EA">
        <w:rPr>
          <w:rFonts w:cs="Times New Roman"/>
          <w:szCs w:val="24"/>
        </w:rPr>
        <w:t>to</w:t>
      </w:r>
      <w:r w:rsidRPr="009B19EA">
        <w:rPr>
          <w:rFonts w:cs="Times New Roman"/>
          <w:szCs w:val="24"/>
        </w:rPr>
        <w:t xml:space="preserve"> feature combinations, clear communication of </w:t>
      </w:r>
      <w:r w:rsidR="00F06358" w:rsidRPr="009B19EA">
        <w:rPr>
          <w:rFonts w:cs="Times New Roman"/>
          <w:szCs w:val="24"/>
        </w:rPr>
        <w:t>the model's</w:t>
      </w:r>
      <w:r w:rsidRPr="009B19EA">
        <w:rPr>
          <w:rFonts w:cs="Times New Roman"/>
          <w:szCs w:val="24"/>
        </w:rPr>
        <w:t xml:space="preserve"> purpose, and guardrails to prevent punitive or exclusionary actions based on risk labels.</w:t>
      </w:r>
      <w:r w:rsidR="005714BB" w:rsidRPr="009B19EA">
        <w:rPr>
          <w:rFonts w:cs="Times New Roman"/>
          <w:szCs w:val="24"/>
        </w:rPr>
        <w:t xml:space="preserve"> In this project, socioeconomic findings are framed as support for expanded access and targeted prevention, not for restricting care.</w:t>
      </w:r>
    </w:p>
    <w:p w14:paraId="149B2299" w14:textId="0168B453" w:rsidR="005714BB" w:rsidRDefault="005714BB" w:rsidP="00696CA8">
      <w:pPr>
        <w:ind w:firstLine="720"/>
        <w:jc w:val="both"/>
        <w:rPr>
          <w:rFonts w:eastAsia="Malgun Gothic" w:cs="Times New Roman"/>
          <w:szCs w:val="24"/>
          <w:lang w:eastAsia="ko-KR"/>
        </w:rPr>
      </w:pPr>
      <w:r w:rsidRPr="009B19EA">
        <w:rPr>
          <w:rFonts w:cs="Times New Roman"/>
          <w:szCs w:val="24"/>
        </w:rPr>
        <w:t xml:space="preserve">In </w:t>
      </w:r>
      <w:r w:rsidR="00EA137E" w:rsidRPr="009B19EA">
        <w:rPr>
          <w:rFonts w:eastAsia="Malgun Gothic" w:cs="Times New Roman"/>
          <w:szCs w:val="24"/>
          <w:lang w:eastAsia="ko-KR"/>
        </w:rPr>
        <w:t>sum,</w:t>
      </w:r>
      <w:r w:rsidRPr="009B19EA">
        <w:rPr>
          <w:rFonts w:cs="Times New Roman"/>
          <w:szCs w:val="24"/>
        </w:rPr>
        <w:t xml:space="preserve"> the results demonstrate high predictive utility, an interpretable risk structure, and practical segmentation value. The modeling stack moves beyond classroom benchmarking by showing how metric trade-offs, threshold policy, and unsupervised profile validation can be combined into actionable decision frameworks for diabetes prevention and early intervention planning.</w:t>
      </w:r>
    </w:p>
    <w:p w14:paraId="61026F23" w14:textId="77777777" w:rsidR="00696CA8" w:rsidRPr="00696CA8" w:rsidRDefault="00696CA8" w:rsidP="00696CA8">
      <w:pPr>
        <w:ind w:firstLine="720"/>
        <w:jc w:val="both"/>
        <w:rPr>
          <w:rFonts w:eastAsia="Malgun Gothic" w:cs="Times New Roman"/>
          <w:szCs w:val="24"/>
          <w:lang w:eastAsia="ko-KR"/>
        </w:rPr>
      </w:pPr>
    </w:p>
    <w:p w14:paraId="561BB11E" w14:textId="2FF6F9B1" w:rsidR="005714BB" w:rsidRPr="009B19EA" w:rsidRDefault="005714BB" w:rsidP="00696CA8">
      <w:pPr>
        <w:jc w:val="center"/>
        <w:rPr>
          <w:rFonts w:eastAsiaTheme="majorEastAsia" w:cs="Times New Roman"/>
          <w:b/>
          <w:bCs/>
          <w:color w:val="365F91" w:themeColor="accent1" w:themeShade="BF"/>
          <w:szCs w:val="24"/>
        </w:rPr>
      </w:pPr>
      <w:r w:rsidRPr="009B19EA">
        <w:rPr>
          <w:rFonts w:eastAsiaTheme="majorEastAsia" w:cs="Times New Roman"/>
          <w:b/>
          <w:bCs/>
          <w:color w:val="365F91" w:themeColor="accent1" w:themeShade="BF"/>
          <w:szCs w:val="24"/>
        </w:rPr>
        <w:t>Conclusion</w:t>
      </w:r>
    </w:p>
    <w:p w14:paraId="4AE39E3C" w14:textId="6B00937B" w:rsidR="005714BB" w:rsidRPr="009B19EA" w:rsidRDefault="005714BB" w:rsidP="00696CA8">
      <w:pPr>
        <w:ind w:firstLine="720"/>
        <w:jc w:val="both"/>
        <w:rPr>
          <w:rFonts w:cs="Times New Roman"/>
          <w:szCs w:val="24"/>
        </w:rPr>
      </w:pPr>
      <w:r w:rsidRPr="009B19EA">
        <w:rPr>
          <w:rFonts w:cs="Times New Roman"/>
          <w:szCs w:val="24"/>
        </w:rPr>
        <w:t xml:space="preserve">This paper consolidates milestone analysis into a single applied narrative: type 2 diabetes risk can be modeled with </w:t>
      </w:r>
      <w:r w:rsidR="00F06358" w:rsidRPr="009B19EA">
        <w:rPr>
          <w:rFonts w:cs="Times New Roman"/>
          <w:szCs w:val="24"/>
        </w:rPr>
        <w:t>intense</w:t>
      </w:r>
      <w:r w:rsidRPr="009B19EA">
        <w:rPr>
          <w:rFonts w:cs="Times New Roman"/>
          <w:szCs w:val="24"/>
        </w:rPr>
        <w:t xml:space="preserve"> discrimination, interpreted across complementary model families, and translated into pragmatic intervention logic. The strongest </w:t>
      </w:r>
      <w:r w:rsidR="00340C6E" w:rsidRPr="009B19EA">
        <w:rPr>
          <w:rFonts w:eastAsia="Malgun Gothic" w:cs="Times New Roman"/>
          <w:szCs w:val="24"/>
          <w:lang w:eastAsia="ko-KR"/>
        </w:rPr>
        <w:t>immediate</w:t>
      </w:r>
      <w:r w:rsidRPr="009B19EA">
        <w:rPr>
          <w:rFonts w:cs="Times New Roman"/>
          <w:szCs w:val="24"/>
        </w:rPr>
        <w:t xml:space="preserve"> predictors are clinical glycemic markers, but structural and behavioral context remain essential for equitable and early prevention strategies.</w:t>
      </w:r>
    </w:p>
    <w:p w14:paraId="794F9010" w14:textId="682E2611" w:rsidR="005714BB" w:rsidRPr="009B19EA" w:rsidRDefault="005714BB" w:rsidP="00696CA8">
      <w:pPr>
        <w:ind w:firstLine="720"/>
        <w:jc w:val="both"/>
        <w:rPr>
          <w:rFonts w:cs="Times New Roman"/>
          <w:szCs w:val="24"/>
        </w:rPr>
      </w:pPr>
      <w:r w:rsidRPr="009B19EA">
        <w:rPr>
          <w:rFonts w:cs="Times New Roman"/>
          <w:szCs w:val="24"/>
        </w:rPr>
        <w:t xml:space="preserve">Relative to baseline, Random Forest improved aggregate performance and highlighted nonlinear influences, especially for age and BMI. However, default threshold superiority does not remove the need for policy choice; threshold tuning remains necessary to align model behavior </w:t>
      </w:r>
      <w:r w:rsidRPr="009B19EA">
        <w:rPr>
          <w:rFonts w:cs="Times New Roman"/>
          <w:szCs w:val="24"/>
        </w:rPr>
        <w:lastRenderedPageBreak/>
        <w:t>with real-world objectives. This distinction between mathematical ranking and operational fitness is a core takeaway of this project.</w:t>
      </w:r>
    </w:p>
    <w:p w14:paraId="73C53015" w14:textId="259CBC99" w:rsidR="005714BB" w:rsidRPr="009B19EA" w:rsidRDefault="005714BB" w:rsidP="00696CA8">
      <w:pPr>
        <w:ind w:firstLine="720"/>
        <w:jc w:val="both"/>
        <w:rPr>
          <w:rFonts w:cs="Times New Roman"/>
          <w:szCs w:val="24"/>
        </w:rPr>
      </w:pPr>
      <w:r w:rsidRPr="009B19EA">
        <w:rPr>
          <w:rFonts w:cs="Times New Roman"/>
          <w:szCs w:val="24"/>
        </w:rPr>
        <w:t xml:space="preserve">For implementation, three recommendations follow. First, establish explicit threshold policies linked to intervention types, with periodic review based on observed outcomes and resource utilization. Second, combine </w:t>
      </w:r>
      <w:r w:rsidR="00F06358" w:rsidRPr="009B19EA">
        <w:rPr>
          <w:rFonts w:cs="Times New Roman"/>
          <w:szCs w:val="24"/>
        </w:rPr>
        <w:t xml:space="preserve">the </w:t>
      </w:r>
      <w:r w:rsidRPr="009B19EA">
        <w:rPr>
          <w:rFonts w:cs="Times New Roman"/>
          <w:szCs w:val="24"/>
        </w:rPr>
        <w:t>supervised risk score with behavioral profile flags to create staged care pathways rather than one</w:t>
      </w:r>
      <w:r w:rsidR="00F06358" w:rsidRPr="009B19EA">
        <w:rPr>
          <w:rFonts w:cs="Times New Roman"/>
          <w:szCs w:val="24"/>
        </w:rPr>
        <w:t>-</w:t>
      </w:r>
      <w:r w:rsidRPr="009B19EA">
        <w:rPr>
          <w:rFonts w:cs="Times New Roman"/>
          <w:szCs w:val="24"/>
        </w:rPr>
        <w:t xml:space="preserve">step binary decisions. </w:t>
      </w:r>
      <w:r w:rsidR="00340C6E" w:rsidRPr="009B19EA">
        <w:rPr>
          <w:rFonts w:eastAsia="Malgun Gothic" w:cs="Times New Roman"/>
          <w:szCs w:val="24"/>
          <w:lang w:eastAsia="ko-KR"/>
        </w:rPr>
        <w:t>Third</w:t>
      </w:r>
      <w:r w:rsidRPr="009B19EA">
        <w:rPr>
          <w:rFonts w:cs="Times New Roman"/>
          <w:szCs w:val="24"/>
        </w:rPr>
        <w:t>, report performance disaggregated by key demographic groups to monitor fairness and avoid hidden disparities in false negative burden.</w:t>
      </w:r>
    </w:p>
    <w:p w14:paraId="1384688E" w14:textId="5F05EF48" w:rsidR="00F06358" w:rsidRPr="009B19EA" w:rsidRDefault="00F06358" w:rsidP="00696CA8">
      <w:pPr>
        <w:ind w:firstLine="720"/>
        <w:jc w:val="both"/>
        <w:rPr>
          <w:rFonts w:cs="Times New Roman"/>
          <w:szCs w:val="24"/>
        </w:rPr>
      </w:pPr>
      <w:r w:rsidRPr="009B19EA">
        <w:rPr>
          <w:rFonts w:cs="Times New Roman"/>
          <w:szCs w:val="24"/>
        </w:rPr>
        <w:t>Future work should extend the evaluation with repeated cross-validation, temporal holdout testing, and calibration diagnostics across subpopulations. Additional analysis could test models trained only on non-clinical features for early-stage screening, then compare the incremental value gained when lab markers are introduced. Such designs would clarify the boundary between proactive prevention triage and near diagnostic classification.</w:t>
      </w:r>
    </w:p>
    <w:p w14:paraId="05561244" w14:textId="00667DDE" w:rsidR="00F06358" w:rsidRPr="009B19EA" w:rsidRDefault="00F06358" w:rsidP="00696CA8">
      <w:pPr>
        <w:ind w:firstLine="720"/>
        <w:jc w:val="both"/>
        <w:rPr>
          <w:rFonts w:cs="Times New Roman"/>
          <w:szCs w:val="24"/>
        </w:rPr>
      </w:pPr>
      <w:r w:rsidRPr="009B19EA">
        <w:rPr>
          <w:rFonts w:cs="Times New Roman"/>
          <w:szCs w:val="24"/>
        </w:rPr>
        <w:t xml:space="preserve">Limitations should be acknowledged. The data set is synthetic, so external validity to specific clinical systems requires careful replication in real-world data. Hyperparameter exploration was purposeful but not exhaustive, and </w:t>
      </w:r>
      <w:r w:rsidR="00340C6E" w:rsidRPr="009B19EA">
        <w:rPr>
          <w:rFonts w:eastAsia="Malgun Gothic" w:cs="Times New Roman"/>
          <w:szCs w:val="24"/>
          <w:lang w:eastAsia="ko-KR"/>
        </w:rPr>
        <w:t>causal</w:t>
      </w:r>
      <w:r w:rsidRPr="009B19EA">
        <w:rPr>
          <w:rFonts w:cs="Times New Roman"/>
          <w:szCs w:val="24"/>
        </w:rPr>
        <w:t xml:space="preserve"> claims are not appropriate from predictive associations alone. Even with these limits, the convergent evidence across methods provides confidence that the present findings provide a decision-support foundation.</w:t>
      </w:r>
    </w:p>
    <w:p w14:paraId="68157475" w14:textId="1BE4161E" w:rsidR="006453D3" w:rsidRPr="008134E0" w:rsidRDefault="00F06358" w:rsidP="008134E0">
      <w:pPr>
        <w:ind w:firstLine="720"/>
        <w:jc w:val="both"/>
        <w:rPr>
          <w:rFonts w:eastAsia="Malgun Gothic" w:cs="Times New Roman"/>
          <w:szCs w:val="24"/>
          <w:lang w:eastAsia="ko-KR"/>
        </w:rPr>
      </w:pPr>
      <w:r w:rsidRPr="009B19EA">
        <w:rPr>
          <w:rFonts w:cs="Times New Roman"/>
          <w:szCs w:val="24"/>
        </w:rPr>
        <w:t xml:space="preserve">Overall, the project demonstrates that predictive analytics can be both technically rigorous and operationally meaningful when analysis is framed around decisions, not </w:t>
      </w:r>
      <w:r w:rsidR="00340C6E" w:rsidRPr="009B19EA">
        <w:rPr>
          <w:rFonts w:eastAsia="Malgun Gothic" w:cs="Times New Roman"/>
          <w:szCs w:val="24"/>
          <w:lang w:eastAsia="ko-KR"/>
        </w:rPr>
        <w:t>pure</w:t>
      </w:r>
      <w:r w:rsidRPr="009B19EA">
        <w:rPr>
          <w:rFonts w:cs="Times New Roman"/>
          <w:szCs w:val="24"/>
        </w:rPr>
        <w:t xml:space="preserve"> scores. By integrating interpretability, threshold governance, and unsupervised validation, the study provides </w:t>
      </w:r>
      <w:r w:rsidR="00340C6E" w:rsidRPr="009B19EA">
        <w:rPr>
          <w:rFonts w:eastAsia="Malgun Gothic" w:cs="Times New Roman"/>
          <w:szCs w:val="24"/>
          <w:lang w:eastAsia="ko-KR"/>
        </w:rPr>
        <w:t>a</w:t>
      </w:r>
      <w:r w:rsidRPr="009B19EA">
        <w:rPr>
          <w:rFonts w:cs="Times New Roman"/>
          <w:szCs w:val="24"/>
        </w:rPr>
        <w:t xml:space="preserve"> practical blueprint for diabetes risk modeling that can inform prevention planning, clinical triage design, and public health strategy development</w:t>
      </w:r>
      <w:r w:rsidR="008134E0">
        <w:rPr>
          <w:rFonts w:eastAsia="Malgun Gothic" w:cs="Times New Roman" w:hint="eastAsia"/>
          <w:szCs w:val="24"/>
          <w:lang w:eastAsia="ko-KR"/>
        </w:rPr>
        <w:t>.</w:t>
      </w:r>
    </w:p>
    <w:p w14:paraId="20529760" w14:textId="37342FAB" w:rsidR="006F2E0E" w:rsidRPr="009B19EA" w:rsidRDefault="00000000" w:rsidP="008134E0">
      <w:pPr>
        <w:pStyle w:val="Heading1"/>
        <w:jc w:val="center"/>
        <w:rPr>
          <w:rFonts w:ascii="Times New Roman" w:hAnsi="Times New Roman" w:cs="Times New Roman"/>
          <w:sz w:val="24"/>
          <w:szCs w:val="24"/>
        </w:rPr>
      </w:pPr>
      <w:r w:rsidRPr="009B19EA">
        <w:rPr>
          <w:rFonts w:ascii="Times New Roman" w:hAnsi="Times New Roman" w:cs="Times New Roman"/>
          <w:sz w:val="24"/>
          <w:szCs w:val="24"/>
        </w:rPr>
        <w:lastRenderedPageBreak/>
        <w:t>References</w:t>
      </w:r>
    </w:p>
    <w:p w14:paraId="1B860AD4" w14:textId="227489E0" w:rsidR="006F2E0E" w:rsidRDefault="00000000" w:rsidP="008134E0">
      <w:pPr>
        <w:ind w:left="720" w:hanging="720"/>
        <w:jc w:val="both"/>
        <w:rPr>
          <w:rFonts w:eastAsia="Malgun Gothic" w:cs="Times New Roman"/>
          <w:szCs w:val="24"/>
          <w:lang w:eastAsia="ko-KR"/>
        </w:rPr>
      </w:pPr>
      <w:r w:rsidRPr="009B19EA">
        <w:rPr>
          <w:rFonts w:cs="Times New Roman"/>
          <w:szCs w:val="24"/>
        </w:rPr>
        <w:t xml:space="preserve">International Diabetes Federation. (2025). IDF diabetes atlas (11th ed.). </w:t>
      </w:r>
      <w:hyperlink r:id="rId11" w:history="1">
        <w:r w:rsidR="008134E0" w:rsidRPr="00A84FF3">
          <w:rPr>
            <w:rStyle w:val="Hyperlink"/>
            <w:rFonts w:cs="Times New Roman"/>
            <w:szCs w:val="24"/>
          </w:rPr>
          <w:t>https://diabetesatlas.org/</w:t>
        </w:r>
      </w:hyperlink>
    </w:p>
    <w:p w14:paraId="1D91544F" w14:textId="77777777" w:rsidR="008134E0" w:rsidRPr="008134E0" w:rsidRDefault="008134E0" w:rsidP="008134E0">
      <w:pPr>
        <w:ind w:left="720" w:hanging="720"/>
        <w:jc w:val="both"/>
        <w:rPr>
          <w:rFonts w:eastAsia="Malgun Gothic" w:cs="Times New Roman"/>
          <w:szCs w:val="24"/>
          <w:lang w:eastAsia="ko-KR"/>
        </w:rPr>
      </w:pPr>
    </w:p>
    <w:p w14:paraId="005A2F67" w14:textId="75CF6A3E" w:rsidR="006F2E0E" w:rsidRPr="009B19EA" w:rsidRDefault="00000000" w:rsidP="008134E0">
      <w:pPr>
        <w:ind w:hanging="720"/>
        <w:jc w:val="both"/>
        <w:rPr>
          <w:rFonts w:cs="Times New Roman"/>
          <w:szCs w:val="24"/>
        </w:rPr>
      </w:pPr>
      <w:r w:rsidRPr="009B19EA">
        <w:rPr>
          <w:rFonts w:cs="Times New Roman"/>
          <w:szCs w:val="24"/>
        </w:rPr>
        <w:t>Knowler, W. C., Barrett-Connor, E., Fowler, S. E., Hamman, R. F., Lachin, J. M., Walker, E. A.,</w:t>
      </w:r>
      <w:r w:rsidR="007168E1" w:rsidRPr="009B19EA">
        <w:rPr>
          <w:rFonts w:cs="Times New Roman"/>
          <w:szCs w:val="24"/>
        </w:rPr>
        <w:t xml:space="preserve"> </w:t>
      </w:r>
      <w:r w:rsidRPr="009B19EA">
        <w:rPr>
          <w:rFonts w:cs="Times New Roman"/>
          <w:szCs w:val="24"/>
        </w:rPr>
        <w:t xml:space="preserve">&amp; Nathan, D. M. (2002). Reduction in the incidence of type 2 diabetes with lifestyle intervention or metformin. New England Journal of Medicine, 346(6), 393-403. </w:t>
      </w:r>
      <w:hyperlink r:id="rId12" w:history="1">
        <w:r w:rsidR="001D5BF7" w:rsidRPr="009B19EA">
          <w:rPr>
            <w:rStyle w:val="Hyperlink"/>
            <w:rFonts w:cs="Times New Roman"/>
            <w:szCs w:val="24"/>
          </w:rPr>
          <w:t>https://doi.org/10.1056/NEJMoa012512</w:t>
        </w:r>
      </w:hyperlink>
    </w:p>
    <w:p w14:paraId="4E4BAD09" w14:textId="77777777" w:rsidR="001D5BF7" w:rsidRPr="009B19EA" w:rsidRDefault="001D5BF7" w:rsidP="008134E0">
      <w:pPr>
        <w:ind w:left="720" w:hanging="720"/>
        <w:jc w:val="both"/>
        <w:rPr>
          <w:rFonts w:cs="Times New Roman"/>
          <w:szCs w:val="24"/>
        </w:rPr>
      </w:pPr>
    </w:p>
    <w:p w14:paraId="1ED9215E" w14:textId="5B041641" w:rsidR="006F2E0E" w:rsidRPr="009B19EA" w:rsidRDefault="00000000" w:rsidP="008134E0">
      <w:pPr>
        <w:ind w:hanging="720"/>
        <w:jc w:val="both"/>
        <w:rPr>
          <w:rFonts w:cs="Times New Roman"/>
          <w:szCs w:val="24"/>
        </w:rPr>
      </w:pPr>
      <w:r w:rsidRPr="009B19EA">
        <w:rPr>
          <w:rFonts w:cs="Times New Roman"/>
          <w:szCs w:val="24"/>
        </w:rPr>
        <w:t xml:space="preserve">Lyssenko, V., &amp; Laakso, M. (2013). Genetic screening for the risk of type 2 diabetes: Worthless or valuable? Diabetes Care, 36(Suppl. 2), S120-S126. </w:t>
      </w:r>
      <w:hyperlink r:id="rId13" w:history="1">
        <w:r w:rsidR="001D5BF7" w:rsidRPr="009B19EA">
          <w:rPr>
            <w:rStyle w:val="Hyperlink"/>
            <w:rFonts w:cs="Times New Roman"/>
            <w:szCs w:val="24"/>
          </w:rPr>
          <w:t>https://doi.org/10.2337/dcS13-2009</w:t>
        </w:r>
      </w:hyperlink>
    </w:p>
    <w:p w14:paraId="2A2B1F26" w14:textId="77777777" w:rsidR="001D5BF7" w:rsidRPr="009B19EA" w:rsidRDefault="001D5BF7" w:rsidP="008134E0">
      <w:pPr>
        <w:ind w:left="720" w:hanging="720"/>
        <w:jc w:val="both"/>
        <w:rPr>
          <w:rFonts w:cs="Times New Roman"/>
          <w:szCs w:val="24"/>
        </w:rPr>
      </w:pPr>
    </w:p>
    <w:p w14:paraId="09287CAA" w14:textId="41583A09" w:rsidR="006F2E0E" w:rsidRPr="009B19EA" w:rsidRDefault="00000000" w:rsidP="008134E0">
      <w:pPr>
        <w:ind w:hanging="720"/>
        <w:jc w:val="both"/>
        <w:rPr>
          <w:rFonts w:cs="Times New Roman"/>
          <w:szCs w:val="24"/>
        </w:rPr>
      </w:pPr>
      <w:r w:rsidRPr="009B19EA">
        <w:rPr>
          <w:rFonts w:cs="Times New Roman"/>
          <w:szCs w:val="24"/>
        </w:rPr>
        <w:t xml:space="preserve">Wade, D. (2007). Ethics of collecting and using healthcare data. BMJ: British Medical Journal, 334(7608), 1330-1331. </w:t>
      </w:r>
      <w:hyperlink r:id="rId14" w:history="1">
        <w:r w:rsidR="001D5BF7" w:rsidRPr="009B19EA">
          <w:rPr>
            <w:rStyle w:val="Hyperlink"/>
            <w:rFonts w:cs="Times New Roman"/>
            <w:szCs w:val="24"/>
          </w:rPr>
          <w:t>https://doi.org/10.1136/bmj.39247.679329.80</w:t>
        </w:r>
      </w:hyperlink>
    </w:p>
    <w:p w14:paraId="17518526" w14:textId="77777777" w:rsidR="001D5BF7" w:rsidRPr="009B19EA" w:rsidRDefault="001D5BF7" w:rsidP="009B19EA">
      <w:pPr>
        <w:ind w:left="720" w:hanging="720"/>
        <w:jc w:val="both"/>
        <w:rPr>
          <w:rFonts w:cs="Times New Roman"/>
          <w:szCs w:val="24"/>
        </w:rPr>
      </w:pPr>
    </w:p>
    <w:p w14:paraId="45DC7CC5" w14:textId="77777777" w:rsidR="007168E1" w:rsidRPr="009B19EA" w:rsidRDefault="007168E1" w:rsidP="009B19EA">
      <w:pPr>
        <w:ind w:left="720" w:hanging="720"/>
        <w:jc w:val="both"/>
        <w:rPr>
          <w:rFonts w:cs="Times New Roman"/>
          <w:szCs w:val="24"/>
        </w:rPr>
      </w:pPr>
    </w:p>
    <w:sectPr w:rsidR="007168E1" w:rsidRPr="009B19EA" w:rsidSect="00034616">
      <w:footerReference w:type="even"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DDF75" w14:textId="77777777" w:rsidR="00055C7B" w:rsidRDefault="00055C7B" w:rsidP="001D5BF7">
      <w:pPr>
        <w:spacing w:line="240" w:lineRule="auto"/>
      </w:pPr>
      <w:r>
        <w:separator/>
      </w:r>
    </w:p>
  </w:endnote>
  <w:endnote w:type="continuationSeparator" w:id="0">
    <w:p w14:paraId="6583FC61" w14:textId="77777777" w:rsidR="00055C7B" w:rsidRDefault="00055C7B" w:rsidP="001D5B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algun Gothic">
    <w:altName w:val="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3073091"/>
      <w:docPartObj>
        <w:docPartGallery w:val="Page Numbers (Bottom of Page)"/>
        <w:docPartUnique/>
      </w:docPartObj>
    </w:sdtPr>
    <w:sdtContent>
      <w:p w14:paraId="064413B1" w14:textId="25D5DE68" w:rsidR="001D5BF7" w:rsidRDefault="001D5BF7" w:rsidP="006D63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C6ABF91" w14:textId="77777777" w:rsidR="001D5BF7" w:rsidRDefault="001D5BF7" w:rsidP="001D5BF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0378931"/>
      <w:docPartObj>
        <w:docPartGallery w:val="Page Numbers (Bottom of Page)"/>
        <w:docPartUnique/>
      </w:docPartObj>
    </w:sdtPr>
    <w:sdtContent>
      <w:p w14:paraId="0F6BBB0C" w14:textId="5146600B" w:rsidR="001D5BF7" w:rsidRDefault="001D5BF7" w:rsidP="006D63D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161D37" w14:textId="77777777" w:rsidR="001D5BF7" w:rsidRDefault="001D5BF7" w:rsidP="001D5BF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79C3E" w14:textId="77777777" w:rsidR="00055C7B" w:rsidRDefault="00055C7B" w:rsidP="001D5BF7">
      <w:pPr>
        <w:spacing w:line="240" w:lineRule="auto"/>
      </w:pPr>
      <w:r>
        <w:separator/>
      </w:r>
    </w:p>
  </w:footnote>
  <w:footnote w:type="continuationSeparator" w:id="0">
    <w:p w14:paraId="46D39E13" w14:textId="77777777" w:rsidR="00055C7B" w:rsidRDefault="00055C7B" w:rsidP="001D5BF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A06E37"/>
    <w:multiLevelType w:val="multilevel"/>
    <w:tmpl w:val="2614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304992">
    <w:abstractNumId w:val="8"/>
  </w:num>
  <w:num w:numId="2" w16cid:durableId="68963510">
    <w:abstractNumId w:val="6"/>
  </w:num>
  <w:num w:numId="3" w16cid:durableId="2142461094">
    <w:abstractNumId w:val="5"/>
  </w:num>
  <w:num w:numId="4" w16cid:durableId="256983028">
    <w:abstractNumId w:val="4"/>
  </w:num>
  <w:num w:numId="5" w16cid:durableId="833492274">
    <w:abstractNumId w:val="7"/>
  </w:num>
  <w:num w:numId="6" w16cid:durableId="873617696">
    <w:abstractNumId w:val="3"/>
  </w:num>
  <w:num w:numId="7" w16cid:durableId="114254161">
    <w:abstractNumId w:val="2"/>
  </w:num>
  <w:num w:numId="8" w16cid:durableId="1628850822">
    <w:abstractNumId w:val="1"/>
  </w:num>
  <w:num w:numId="9" w16cid:durableId="759789621">
    <w:abstractNumId w:val="0"/>
  </w:num>
  <w:num w:numId="10" w16cid:durableId="2444146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6E"/>
    <w:rsid w:val="00034616"/>
    <w:rsid w:val="00055C7B"/>
    <w:rsid w:val="0006063C"/>
    <w:rsid w:val="000639BC"/>
    <w:rsid w:val="0015074B"/>
    <w:rsid w:val="00162811"/>
    <w:rsid w:val="001B5812"/>
    <w:rsid w:val="001C0190"/>
    <w:rsid w:val="001D5BF7"/>
    <w:rsid w:val="001E15B0"/>
    <w:rsid w:val="002318DC"/>
    <w:rsid w:val="0029639D"/>
    <w:rsid w:val="002E5056"/>
    <w:rsid w:val="00323CCB"/>
    <w:rsid w:val="00326F90"/>
    <w:rsid w:val="00340C6E"/>
    <w:rsid w:val="003B2D7E"/>
    <w:rsid w:val="00435AEC"/>
    <w:rsid w:val="005714BB"/>
    <w:rsid w:val="005C73EE"/>
    <w:rsid w:val="006453D3"/>
    <w:rsid w:val="00696CA8"/>
    <w:rsid w:val="006E1381"/>
    <w:rsid w:val="006F2E0E"/>
    <w:rsid w:val="007168E1"/>
    <w:rsid w:val="007223B6"/>
    <w:rsid w:val="007C0045"/>
    <w:rsid w:val="008134E0"/>
    <w:rsid w:val="008D3125"/>
    <w:rsid w:val="009B19EA"/>
    <w:rsid w:val="009D7339"/>
    <w:rsid w:val="00A419AC"/>
    <w:rsid w:val="00A8561E"/>
    <w:rsid w:val="00AA1D8D"/>
    <w:rsid w:val="00AA7E6B"/>
    <w:rsid w:val="00B31ECB"/>
    <w:rsid w:val="00B47730"/>
    <w:rsid w:val="00BC0986"/>
    <w:rsid w:val="00CB0664"/>
    <w:rsid w:val="00D30C31"/>
    <w:rsid w:val="00EA137E"/>
    <w:rsid w:val="00EA64FD"/>
    <w:rsid w:val="00F06358"/>
    <w:rsid w:val="00F43971"/>
    <w:rsid w:val="00F61C71"/>
    <w:rsid w:val="00F70A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B05F0"/>
  <w14:defaultImageDpi w14:val="300"/>
  <w15:docId w15:val="{5A46A5C6-3C63-EB41-B842-DFC15D7F8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D5BF7"/>
    <w:rPr>
      <w:color w:val="0000FF" w:themeColor="hyperlink"/>
      <w:u w:val="single"/>
    </w:rPr>
  </w:style>
  <w:style w:type="character" w:styleId="UnresolvedMention">
    <w:name w:val="Unresolved Mention"/>
    <w:basedOn w:val="DefaultParagraphFont"/>
    <w:uiPriority w:val="99"/>
    <w:semiHidden/>
    <w:unhideWhenUsed/>
    <w:rsid w:val="001D5BF7"/>
    <w:rPr>
      <w:color w:val="605E5C"/>
      <w:shd w:val="clear" w:color="auto" w:fill="E1DFDD"/>
    </w:rPr>
  </w:style>
  <w:style w:type="character" w:styleId="PageNumber">
    <w:name w:val="page number"/>
    <w:basedOn w:val="DefaultParagraphFont"/>
    <w:uiPriority w:val="99"/>
    <w:semiHidden/>
    <w:unhideWhenUsed/>
    <w:rsid w:val="001D5B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2337/dcS13-2009"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oi.org/10.1056/NEJMoa012512"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iabetesatlas.org/"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136/bmj.39247.679329.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E507AE-48A1-214B-8DCF-0C44256A3C9D}">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08902a0-8c4b-451d-ba20-f5abf25e0905" xsi:nil="true"/>
    <lcf76f155ced4ddcb4097134ff3c332f xmlns="e8c9addc-188d-4db0-9f3e-ecac283308f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8A2A07D1CD83B4690071353FDC0B893" ma:contentTypeVersion="19" ma:contentTypeDescription="Create a new document." ma:contentTypeScope="" ma:versionID="d5952e26062f8b830fde46c4585c8020">
  <xsd:schema xmlns:xsd="http://www.w3.org/2001/XMLSchema" xmlns:xs="http://www.w3.org/2001/XMLSchema" xmlns:p="http://schemas.microsoft.com/office/2006/metadata/properties" xmlns:ns2="e8c9addc-188d-4db0-9f3e-ecac283308f2" xmlns:ns3="908902a0-8c4b-451d-ba20-f5abf25e0905" targetNamespace="http://schemas.microsoft.com/office/2006/metadata/properties" ma:root="true" ma:fieldsID="1093435a6263919dfd826fc3bd19d15c" ns2:_="" ns3:_="">
    <xsd:import namespace="e8c9addc-188d-4db0-9f3e-ecac283308f2"/>
    <xsd:import namespace="908902a0-8c4b-451d-ba20-f5abf25e090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9addc-188d-4db0-9f3e-ecac283308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b3b29b4-c9d7-4060-9033-20070191685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902a0-8c4b-451d-ba20-f5abf25e0905"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a1563d5-9149-4f30-b856-93b8657cd1cb}" ma:internalName="TaxCatchAll" ma:showField="CatchAllData" ma:web="908902a0-8c4b-451d-ba20-f5abf25e09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9FDE28-27A3-4DAC-8EB6-3A7CD5A37E6E}">
  <ds:schemaRefs>
    <ds:schemaRef ds:uri="http://schemas.microsoft.com/sharepoint/v3/contenttype/forms"/>
  </ds:schemaRefs>
</ds:datastoreItem>
</file>

<file path=customXml/itemProps2.xml><?xml version="1.0" encoding="utf-8"?>
<ds:datastoreItem xmlns:ds="http://schemas.openxmlformats.org/officeDocument/2006/customXml" ds:itemID="{D6C057B3-0333-4173-952D-00BC7533A27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B1722A-FF06-414E-A142-4C57D3E8B789}"/>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15</Pages>
  <Words>3843</Words>
  <Characters>21906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Wederstrandt</cp:lastModifiedBy>
  <cp:revision>13</cp:revision>
  <cp:lastPrinted>2026-03-07T17:18:00Z</cp:lastPrinted>
  <dcterms:created xsi:type="dcterms:W3CDTF">2026-02-22T03:32:00Z</dcterms:created>
  <dcterms:modified xsi:type="dcterms:W3CDTF">2026-03-07T17:18:00Z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0x01010078A2A07D1CD83B4690071353FDC0B893</vt:lpwstr>
  </property>
</Properties>
</file>