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1B3A5C"/>
          <w:sz w:val="64"/>
          <w:szCs w:val="64"/>
        </w:rPr>
        <w:t xml:space="preserve">SprintZero</w:t>
      </w:r>
    </w:p>
    <w:p>
      <w:pPr>
        <w:spacing w:after="80" w:before="0"/>
      </w:pPr>
      <w:r>
        <w:rPr>
          <w:rFonts w:ascii="Arial" w:cs="Arial" w:eastAsia="Arial" w:hAnsi="Arial"/>
          <w:color w:val="2E6DA4"/>
          <w:sz w:val="48"/>
          <w:szCs w:val="48"/>
        </w:rPr>
        <w:t xml:space="preserve">RAG Registry</w:t>
      </w:r>
    </w:p>
    <w:p>
      <w:pPr>
        <w:spacing w:after="60" w:before="0"/>
      </w:pPr>
      <w:r>
        <w:rPr>
          <w:rFonts w:ascii="Arial" w:cs="Arial" w:eastAsia="Arial" w:hAnsi="Arial"/>
          <w:color w:val="666666"/>
          <w:sz w:val="24"/>
          <w:szCs w:val="24"/>
        </w:rPr>
        <w:t xml:space="preserve">Version 2  ·  Phase 3  ·  May 2026</w:t>
      </w:r>
    </w:p>
    <w:p>
      <w:pPr>
        <w:pBdr>
          <w:bottom w:val="single" w:color="1B3A5C" w:sz="6" w:space="1"/>
        </w:pBdr>
        <w:spacing w:after="160" w:before="0"/>
      </w:pPr>
    </w:p>
    <w:p>
      <w:pPr>
        <w:spacing w:after="0" w:before="0"/>
      </w:pPr>
    </w:p>
    <w:p>
      <w:pPr>
        <w:spacing w:after="100" w:before="0"/>
      </w:pPr>
      <w:r>
        <w:rPr>
          <w:rFonts w:ascii="Arial" w:cs="Arial" w:eastAsia="Arial" w:hAnsi="Arial"/>
          <w:i/>
          <w:iCs/>
          <w:color w:val="333333"/>
          <w:sz w:val="22"/>
          <w:szCs w:val="22"/>
        </w:rPr>
        <w:t xml:space="preserve">The index of all knowledge available to the SprintZero reasoning system. Specifies what exists, what is planned, what is missing, and how each file is retrieved. This is a rules-only document. Examples live in the files they index.</w:t>
      </w:r>
    </w:p>
    <w:p>
      <w:pPr>
        <w:spacing w:after="0" w:before="0"/>
      </w:pPr>
      <w:r>
        <w:rPr>
          <w:rFonts w:ascii="Arial" w:cs="Arial" w:eastAsia="Arial" w:hAnsi="Arial"/>
          <w:color w:val="666666"/>
          <w:sz w:val="22"/>
          <w:szCs w:val="22"/>
        </w:rPr>
        <w:t xml:space="preserve">Phase 3 refactor: Registry contains rules only. Output schema, copilot role/task, and QA agent protocol are now registered as independent Applied files.</w:t>
      </w:r>
    </w:p>
    <w:p>
      <w:pPr>
        <w:spacing w:after="0" w:before="0"/>
      </w:pPr>
    </w:p>
    <w:p>
      <w:r>
        <w:br w:type="page"/>
      </w:r>
    </w:p>
    <w:p>
      <w:pPr>
        <w:pStyle w:val="Heading1"/>
        <w:spacing w:after="80" w:before="320"/>
      </w:pPr>
      <w:r>
        <w:rPr>
          <w:rFonts w:ascii="Arial" w:cs="Arial" w:eastAsia="Arial" w:hAnsi="Arial"/>
          <w:b/>
          <w:bCs/>
          <w:color w:val="1B3A5C"/>
          <w:sz w:val="36"/>
          <w:szCs w:val="36"/>
        </w:rPr>
        <w:t xml:space="preserve">1.  Purpose</w:t>
      </w:r>
    </w:p>
    <w:p>
      <w:pPr>
        <w:pBdr>
          <w:bottom w:val="single" w:color="1B3A5C" w:sz="6" w:space="1"/>
        </w:pBdr>
        <w:spacing w:after="160" w:before="0"/>
      </w:pPr>
    </w:p>
    <w:p>
      <w:pPr>
        <w:spacing w:after="0" w:before="0"/>
      </w:pPr>
    </w:p>
    <w:p>
      <w:pPr>
        <w:spacing w:after="120" w:before="0"/>
      </w:pPr>
      <w:r>
        <w:rPr>
          <w:rFonts w:ascii="Arial" w:cs="Arial" w:eastAsia="Arial" w:hAnsi="Arial"/>
          <w:b w:val="false"/>
          <w:bCs w:val="false"/>
          <w:i w:val="false"/>
          <w:iCs w:val="false"/>
          <w:color w:val="222222"/>
          <w:sz w:val="22"/>
          <w:szCs w:val="22"/>
        </w:rPr>
        <w:t xml:space="preserve">SprintZero is an AI-augmented research reasoning system. Its core job is not to generate insights — it is to evaluate them. It catches the quiet failure mode that kills most UX research programmes: good data, poorly reasoned into wrong conclusions, invested in confidently.</w:t>
      </w:r>
    </w:p>
    <w:p>
      <w:pPr>
        <w:spacing w:after="0" w:before="0"/>
      </w:pPr>
    </w:p>
    <w:p>
      <w:pPr>
        <w:spacing w:after="120" w:before="0"/>
      </w:pPr>
      <w:r>
        <w:rPr>
          <w:rFonts w:ascii="Arial" w:cs="Arial" w:eastAsia="Arial" w:hAnsi="Arial"/>
          <w:b w:val="false"/>
          <w:bCs w:val="false"/>
          <w:i w:val="false"/>
          <w:iCs w:val="false"/>
          <w:color w:val="222222"/>
          <w:sz w:val="22"/>
          <w:szCs w:val="22"/>
        </w:rPr>
        <w:t xml:space="preserve">The RAG Registry is the directory layer that makes this possible at scale. It sits above the individual RAG files and answers three questions the system must answer before it can reason well:</w:t>
      </w:r>
    </w:p>
    <w:p>
      <w:pPr>
        <w:spacing w:after="0" w:before="0"/>
      </w:pPr>
    </w:p>
    <w:p>
      <w:pPr>
        <w:pStyle w:val="ListParagraph"/>
        <w:numPr>
          <w:ilvl w:val="0"/>
          <w:numId w:val="2"/>
        </w:numPr>
        <w:spacing w:after="80" w:before="0"/>
      </w:pPr>
      <w:r>
        <w:rPr>
          <w:rFonts w:ascii="Arial" w:cs="Arial" w:eastAsia="Arial" w:hAnsi="Arial"/>
          <w:color w:val="333333"/>
          <w:sz w:val="22"/>
          <w:szCs w:val="22"/>
        </w:rPr>
        <w:t xml:space="preserve">What knowledge does the system currently have access to?</w:t>
      </w:r>
    </w:p>
    <w:p>
      <w:pPr>
        <w:pStyle w:val="ListParagraph"/>
        <w:numPr>
          <w:ilvl w:val="0"/>
          <w:numId w:val="2"/>
        </w:numPr>
        <w:spacing w:after="80" w:before="0"/>
      </w:pPr>
      <w:r>
        <w:rPr>
          <w:rFonts w:ascii="Arial" w:cs="Arial" w:eastAsia="Arial" w:hAnsi="Arial"/>
          <w:color w:val="333333"/>
          <w:sz w:val="22"/>
          <w:szCs w:val="22"/>
        </w:rPr>
        <w:t xml:space="preserve">What knowledge is missing — and what corpus would need to exist to fill the gap?</w:t>
      </w:r>
    </w:p>
    <w:p>
      <w:pPr>
        <w:pStyle w:val="ListParagraph"/>
        <w:numPr>
          <w:ilvl w:val="0"/>
          <w:numId w:val="2"/>
        </w:numPr>
        <w:spacing w:after="80" w:before="0"/>
      </w:pPr>
      <w:r>
        <w:rPr>
          <w:rFonts w:ascii="Arial" w:cs="Arial" w:eastAsia="Arial" w:hAnsi="Arial"/>
          <w:color w:val="333333"/>
          <w:sz w:val="22"/>
          <w:szCs w:val="22"/>
        </w:rPr>
        <w:t xml:space="preserve">How should a given piece of knowledge be weighted in retrieval?</w:t>
      </w:r>
    </w:p>
    <w:p>
      <w:pPr>
        <w:spacing w:after="0" w:before="0"/>
      </w:pPr>
    </w:p>
    <w:p>
      <w:pPr>
        <w:spacing w:after="120" w:before="0"/>
      </w:pPr>
      <w:r>
        <w:rPr>
          <w:rFonts w:ascii="Arial" w:cs="Arial" w:eastAsia="Arial" w:hAnsi="Arial"/>
          <w:b w:val="false"/>
          <w:bCs w:val="false"/>
          <w:i/>
          <w:iCs/>
          <w:color w:val="222222"/>
          <w:sz w:val="22"/>
          <w:szCs w:val="22"/>
        </w:rPr>
        <w:t xml:space="preserve">Phase 3 refactor principle: the Registry contains rules only. It is an index, not a summary. Examples of application belong in the files they index. This means: descriptions in the registry state what a file IS and what rules or protocols it holds — not what it contains or how it should be used. That separation makes each component independently maintainable and independently replaceable.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2E6DA4" w:sz="1"/>
              <w:left w:val="single" w:color="2E6DA4" w:sz="1"/>
              <w:bottom w:val="single" w:color="2E6DA4" w:sz="1"/>
              <w:right w:val="single" w:color="2E6DA4" w:sz="1"/>
            </w:tcBorders>
            <w:shd w:fill="2E6DA4" w:val="clear"/>
            <w:tcMar>
              <w:top w:type="dxa" w:w="80"/>
              <w:left w:type="dxa" w:w="60"/>
              <w:bottom w:type="dxa" w:w="80"/>
              <w:right w:type="dxa" w:w="60"/>
            </w:tcMar>
          </w:tcPr>
          <w:p/>
        </w:tc>
        <w:tc>
          <w:tcPr>
            <w:tcW w:type="dxa" w:w="9180"/>
            <w:tcBorders>
              <w:top w:val="single" w:color="2E6DA4" w:sz="1"/>
              <w:left w:val="none" w:color="FFFFFF" w:sz="0"/>
              <w:bottom w:val="single" w:color="2E6DA4" w:sz="1"/>
              <w:right w:val="single" w:color="2E6DA4" w:sz="1"/>
            </w:tcBorders>
            <w:shd w:fill="F5F7FA" w:val="clear"/>
            <w:tcMar>
              <w:top w:type="dxa" w:w="100"/>
              <w:left w:type="dxa" w:w="160"/>
              <w:bottom w:type="dxa" w:w="100"/>
              <w:right w:type="dxa" w:w="160"/>
            </w:tcMar>
          </w:tcPr>
          <w:p>
            <w:pPr>
              <w:spacing w:after="0" w:before="0"/>
            </w:pPr>
            <w:r>
              <w:rPr>
                <w:rFonts w:ascii="Arial" w:cs="Arial" w:eastAsia="Arial" w:hAnsi="Arial"/>
                <w:i/>
                <w:iCs/>
                <w:color w:val="333333"/>
                <w:sz w:val="20"/>
                <w:szCs w:val="20"/>
              </w:rPr>
              <w:t xml:space="preserve">The Registry transforms SprintZero from a tool into infrastructure. A single corpus limits the system to pattern-matching within one dataset. The Registry turns SprintZero into a research memory — an institutional record of what has been studied, what has been validated, and where the gaps are.</w:t>
            </w:r>
          </w:p>
        </w:tc>
      </w:tr>
    </w:tbl>
    <w:p>
      <w:pPr>
        <w:spacing w:after="0" w:before="0"/>
      </w:pPr>
    </w:p>
    <w:p>
      <w:pPr>
        <w:pStyle w:val="Heading2"/>
        <w:spacing w:after="40" w:before="280"/>
      </w:pPr>
      <w:r>
        <w:rPr>
          <w:rFonts w:ascii="Arial" w:cs="Arial" w:eastAsia="Arial" w:hAnsi="Arial"/>
          <w:b/>
          <w:bCs/>
          <w:color w:val="2E6DA4"/>
          <w:sz w:val="26"/>
          <w:szCs w:val="26"/>
        </w:rPr>
        <w:t xml:space="preserve">2.  Governing Principle</w:t>
      </w:r>
    </w:p>
    <w:p>
      <w:pPr>
        <w:pBdr>
          <w:bottom w:val="single" w:color="2E6DA4" w:sz="6" w:space="1"/>
        </w:pBdr>
        <w:spacing w:after="160" w:before="0"/>
      </w:pPr>
    </w:p>
    <w:p>
      <w:pPr>
        <w:spacing w:after="0" w:before="0"/>
      </w:pPr>
    </w:p>
    <w:p>
      <w:pPr>
        <w:spacing w:after="160" w:before="80"/>
        <w:jc w:val="center"/>
      </w:pPr>
      <w:r>
        <w:rPr>
          <w:rFonts w:ascii="Arial" w:cs="Arial" w:eastAsia="Arial" w:hAnsi="Arial"/>
          <w:b/>
          <w:bCs/>
          <w:i/>
          <w:iCs/>
          <w:color w:val="1B3A5C"/>
          <w:sz w:val="26"/>
          <w:szCs w:val="26"/>
        </w:rPr>
        <w:t xml:space="preserve">Embeddings do the work.  Structure makes it inspectable.  Evaluation makes it improvable.</w:t>
      </w:r>
    </w:p>
    <w:p>
      <w:pPr>
        <w:spacing w:after="0" w:before="0"/>
      </w:pPr>
    </w:p>
    <w:p>
      <w:pPr>
        <w:spacing w:after="120" w:before="0"/>
      </w:pPr>
      <w:r>
        <w:rPr>
          <w:rFonts w:ascii="Arial" w:cs="Arial" w:eastAsia="Arial" w:hAnsi="Arial"/>
          <w:b w:val="false"/>
          <w:bCs w:val="false"/>
          <w:i w:val="false"/>
          <w:iCs w:val="false"/>
          <w:color w:val="222222"/>
          <w:sz w:val="22"/>
          <w:szCs w:val="22"/>
        </w:rPr>
        <w:t xml:space="preserve">Nothing in this architecture requires the system to be smart about routing. Every component degrades gracefully. If metadata matching fails, embedding similarity carries the answer. If domain detection fails, the answer proceeds on Foundational and Applied knowledge and flags the gap. A system that only works when everything is classified correctly will fail constantly.</w:t>
      </w:r>
    </w:p>
    <w:p>
      <w:pPr>
        <w:spacing w:after="0" w:before="0"/>
      </w:pPr>
    </w:p>
    <w:p>
      <w:pPr>
        <w:pStyle w:val="Heading2"/>
        <w:spacing w:after="40" w:before="280"/>
      </w:pPr>
      <w:r>
        <w:rPr>
          <w:rFonts w:ascii="Arial" w:cs="Arial" w:eastAsia="Arial" w:hAnsi="Arial"/>
          <w:b/>
          <w:bCs/>
          <w:color w:val="2E6DA4"/>
          <w:sz w:val="26"/>
          <w:szCs w:val="26"/>
        </w:rPr>
        <w:t xml:space="preserve">3.  Architecture — Four Knowledge Collections</w:t>
      </w:r>
    </w:p>
    <w:p>
      <w:pPr>
        <w:pBdr>
          <w:bottom w:val="single" w:color="2E6DA4" w:sz="6" w:space="1"/>
        </w:pBdr>
        <w:spacing w:after="160" w:before="0"/>
      </w:pPr>
    </w:p>
    <w:p>
      <w:pPr>
        <w:spacing w:after="0" w:before="0"/>
      </w:pPr>
    </w:p>
    <w:p>
      <w:pPr>
        <w:spacing w:after="120" w:before="0"/>
      </w:pPr>
      <w:r>
        <w:rPr>
          <w:rFonts w:ascii="Arial" w:cs="Arial" w:eastAsia="Arial" w:hAnsi="Arial"/>
          <w:b w:val="false"/>
          <w:bCs w:val="false"/>
          <w:i w:val="false"/>
          <w:iCs w:val="false"/>
          <w:color w:val="222222"/>
          <w:sz w:val="22"/>
          <w:szCs w:val="22"/>
        </w:rPr>
        <w:t xml:space="preserve">SprintZero uses four knowledge collections, not tiers. The distinction matters: tiers imply routing gates. Collections are namespaces that embeddings retrieve across in parallel. No gate decides which collection a query reaches.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000"/>
        <w:gridCol w:w="36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Collection</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Chunk Principle</w:t>
            </w:r>
          </w:p>
        </w:tc>
        <w:tc>
          <w:tcPr>
            <w:tcW w:type="dxa" w:w="36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Query Match Style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Foundational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WHY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One concept, fully explained. Principles, cognitive biases, research fundamentals.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Vague, conceptual, explanatory queries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Applied</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HOW</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One solution with context and rationale. Patterns, anti-patterns, flows, protocols.</w:t>
            </w:r>
          </w:p>
        </w:tc>
        <w:tc>
          <w:tcPr>
            <w:tcW w:type="dxa" w:w="3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Concrete, task-oriented queries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Contextual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WHERE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One domain scenario, fully described. Constraints, regulations, user mental models.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Domain-specific, constraint queries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Situational</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THIS</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Chunked by topic, speaker, or phase. Project transcripts, reviews, briefs, verbatims.</w:t>
            </w:r>
          </w:p>
        </w:tc>
        <w:tc>
          <w:tcPr>
            <w:tcW w:type="dxa" w:w="3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Evidence queries tied to a specific project</w:t>
            </w:r>
          </w:p>
        </w:tc>
      </w:tr>
    </w:tbl>
    <w:p>
      <w:pPr>
        <w:spacing w:after="0" w:before="0"/>
      </w:pPr>
    </w:p>
    <w:p>
      <w:r>
        <w:br w:type="page"/>
      </w:r>
    </w:p>
    <w:p>
      <w:pPr>
        <w:pStyle w:val="Heading2"/>
        <w:spacing w:after="40" w:before="280"/>
      </w:pPr>
      <w:r>
        <w:rPr>
          <w:rFonts w:ascii="Arial" w:cs="Arial" w:eastAsia="Arial" w:hAnsi="Arial"/>
          <w:b/>
          <w:bCs/>
          <w:color w:val="2E6DA4"/>
          <w:sz w:val="26"/>
          <w:szCs w:val="26"/>
        </w:rPr>
        <w:t xml:space="preserve">4.  Retrieval Pipeline</w:t>
      </w:r>
    </w:p>
    <w:p>
      <w:pPr>
        <w:pBdr>
          <w:bottom w:val="single" w:color="2E6DA4" w:sz="6" w:space="1"/>
        </w:pBdr>
        <w:spacing w:after="16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4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Stage</w:t>
            </w:r>
          </w:p>
        </w:tc>
        <w:tc>
          <w:tcPr>
            <w:tcW w:type="dxa" w:w="21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Mechanism</w:t>
            </w:r>
          </w:p>
        </w:tc>
        <w:tc>
          <w:tcPr>
            <w:tcW w:type="dxa" w:w="54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Query Expansion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Lightweight LLM pre-pass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Enriches query surface for embedding. Not a classifier — enrichment only. If it fails, embeddings still work.</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Parallel Retrieval</w:t>
            </w:r>
          </w:p>
        </w:tc>
        <w:tc>
          <w:tcPr>
            <w:tcW w:type="dxa" w:w="2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All collections simultaneously</w:t>
            </w:r>
          </w:p>
        </w:tc>
        <w:tc>
          <w:tcPr>
            <w:tcW w:type="dxa" w:w="5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No routing gates. All four collections queried in parallel. Top-k per collection returned independently.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Scoring + Boost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Embedding primary, metadata nudges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embedding_score + 0.10×topic_overlap + 0.10×domain_match + 0.05×strength_boost. Boosts nudge; they do not override.</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Diversity Enforcement</w:t>
            </w:r>
          </w:p>
        </w:tc>
        <w:tc>
          <w:tcPr>
            <w:tcW w:type="dxa" w:w="2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Minimum coverage rules</w:t>
            </w:r>
          </w:p>
        </w:tc>
        <w:tc>
          <w:tcPr>
            <w:tcW w:type="dxa" w:w="5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≥1 Applied chunk if above threshold. ≥1 Contextual if domain detected. ≤2 chunks per source file.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Foundational Injection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Automatic fallback</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If no Foundational chunk in top-N → inject highest-scoring F-series chunk. No hardcoding of which file.</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Structured Synthesis</w:t>
            </w:r>
          </w:p>
        </w:tc>
        <w:tc>
          <w:tcPr>
            <w:tcW w:type="dxa" w:w="2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Composition prompt (reasoning contract)</w:t>
            </w:r>
          </w:p>
        </w:tc>
        <w:tc>
          <w:tcPr>
            <w:tcW w:type="dxa" w:w="5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WHY (Foundational) + HOW (Applied) + WHERE (Contextual) + THIS (Situational). Conflicts named and resolved explicitly.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Answer + Gap Flags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Always includes what is missing</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Every answer states what corpus would improve confidence. Gap flags are never silent.</w:t>
            </w:r>
          </w:p>
        </w:tc>
      </w:tr>
    </w:tbl>
    <w:p>
      <w:pPr>
        <w:spacing w:after="0" w:before="0"/>
      </w:pPr>
    </w:p>
    <w:p>
      <w:pPr>
        <w:spacing w:after="0" w:before="0"/>
      </w:pPr>
    </w:p>
    <w:p>
      <w:pPr>
        <w:pStyle w:val="Heading3"/>
        <w:spacing w:after="60" w:before="200"/>
      </w:pPr>
      <w:r>
        <w:rPr>
          <w:rFonts w:ascii="Arial" w:cs="Arial" w:eastAsia="Arial" w:hAnsi="Arial"/>
          <w:b/>
          <w:bCs/>
          <w:color w:val="1B3A5C"/>
          <w:sz w:val="22"/>
          <w:szCs w:val="22"/>
        </w:rPr>
        <w:t xml:space="preserve">Metadata Schema</w:t>
      </w:r>
    </w:p>
    <w:p>
      <w:pPr>
        <w:spacing w:after="120" w:before="0"/>
      </w:pPr>
      <w:r>
        <w:rPr>
          <w:rFonts w:ascii="Arial" w:cs="Arial" w:eastAsia="Arial" w:hAnsi="Arial"/>
          <w:b w:val="false"/>
          <w:bCs w:val="false"/>
          <w:i w:val="false"/>
          <w:iCs w:val="false"/>
          <w:color w:val="222222"/>
          <w:sz w:val="22"/>
          <w:szCs w:val="22"/>
        </w:rPr>
        <w:t xml:space="preserve">Each file carries lightweight metadata. It supports retrieval — it does not drive it. If metadata is absent or mismatched, embeddings still work.</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Values</w:t>
            </w:r>
          </w:p>
        </w:tc>
        <w:tc>
          <w:tcPr>
            <w:tcW w:type="dxa" w:w="4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type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foundational | applied | contextual | situational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Collection role. Primary retrieval namespace signal.</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topics</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["onboarding", "compliance", "trust"]</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Loose tags. Fuzzy matched against query expansion hints. Not an ontology — approximate is fine.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domain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["fintech", "general"]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Can be multi-valued. "general" means always eligible for retrieval regardless of domain detection.</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strength</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canonical | established | anecdotal</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Canonical = foundational literature. Established = solid practice. Anecdotal = single-project data. Influences score boost.</w:t>
            </w:r>
          </w:p>
        </w:tc>
      </w:tr>
    </w:tbl>
    <w:p>
      <w:pPr>
        <w:spacing w:after="0" w:before="0"/>
      </w:pPr>
    </w:p>
    <w:p>
      <w:pPr>
        <w:spacing w:after="0" w:before="0"/>
      </w:pPr>
    </w:p>
    <w:p>
      <w:pPr>
        <w:pStyle w:val="Heading3"/>
        <w:spacing w:after="60" w:before="200"/>
      </w:pPr>
      <w:r>
        <w:rPr>
          <w:rFonts w:ascii="Arial" w:cs="Arial" w:eastAsia="Arial" w:hAnsi="Arial"/>
          <w:b/>
          <w:bCs/>
          <w:color w:val="1B3A5C"/>
          <w:sz w:val="22"/>
          <w:szCs w:val="22"/>
        </w:rPr>
        <w:t xml:space="preserve">Scoring Function</w:t>
      </w:r>
    </w:p>
    <w:p>
      <w:pPr>
        <w:spacing w:after="120" w:before="80"/>
      </w:pPr>
      <w:r>
        <w:rPr>
          <w:rFonts w:ascii="Courier New" w:cs="Courier New" w:eastAsia="Courier New" w:hAnsi="Courier New"/>
          <w:color w:val="1B3A5C"/>
          <w:sz w:val="20"/>
          <w:szCs w:val="20"/>
        </w:rPr>
        <w:t xml:space="preserve">final_score  =  embedding_score  +  0.10 × topic_overlap  +  0.10 × domain_match  +  0.05 × strength_boost</w:t>
      </w:r>
    </w:p>
    <w:p>
      <w:pPr>
        <w:spacing w:after="120" w:before="0"/>
      </w:pPr>
      <w:r>
        <w:rPr>
          <w:rFonts w:ascii="Arial" w:cs="Arial" w:eastAsia="Arial" w:hAnsi="Arial"/>
          <w:b w:val="false"/>
          <w:bCs w:val="false"/>
          <w:i w:val="false"/>
          <w:iCs w:val="false"/>
          <w:color w:val="222222"/>
          <w:sz w:val="22"/>
          <w:szCs w:val="22"/>
        </w:rPr>
        <w:t xml:space="preserve">Boosts are small by design. They nudge; they do not override. A highly relevant anecdotal chunk beats a weakly relevant canonical one.</w:t>
      </w:r>
    </w:p>
    <w:p>
      <w:pPr>
        <w:spacing w:after="0" w:before="0"/>
      </w:pPr>
    </w:p>
    <w:p>
      <w:pPr>
        <w:pStyle w:val="Heading2"/>
        <w:spacing w:after="40" w:before="280"/>
      </w:pPr>
      <w:r>
        <w:rPr>
          <w:rFonts w:ascii="Arial" w:cs="Arial" w:eastAsia="Arial" w:hAnsi="Arial"/>
          <w:b/>
          <w:bCs/>
          <w:color w:val="2E6DA4"/>
          <w:sz w:val="26"/>
          <w:szCs w:val="26"/>
        </w:rPr>
        <w:t xml:space="preserve">5.  Designed Failure Modes</w:t>
      </w:r>
    </w:p>
    <w:p>
      <w:pPr>
        <w:pBdr>
          <w:bottom w:val="single" w:color="2E6DA4" w:sz="6" w:space="1"/>
        </w:pBdr>
        <w:spacing w:after="160" w:before="0"/>
      </w:pPr>
    </w:p>
    <w:p>
      <w:pPr>
        <w:spacing w:after="0" w:before="0"/>
      </w:pPr>
    </w:p>
    <w:p>
      <w:pPr>
        <w:spacing w:after="120" w:before="0"/>
      </w:pPr>
      <w:r>
        <w:rPr>
          <w:rFonts w:ascii="Arial" w:cs="Arial" w:eastAsia="Arial" w:hAnsi="Arial"/>
          <w:b w:val="false"/>
          <w:bCs w:val="false"/>
          <w:i w:val="false"/>
          <w:iCs w:val="false"/>
          <w:color w:val="222222"/>
          <w:sz w:val="22"/>
          <w:szCs w:val="22"/>
        </w:rPr>
        <w:t xml:space="preserve">These are not edge cases. They are the most common scenarios in real research use. Each has a designed response rather than a silent failure.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Failure Mode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w:t>
            </w:r>
          </w:p>
        </w:tc>
        <w:tc>
          <w:tcPr>
            <w:tcW w:type="dxa" w:w="4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Designed Response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Domain not detected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Contextual chunks absent from retrieval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Answer proceeds on Foundational + Applied. Gap flag states what domain context would add.</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Only patterns retrieve</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No Foundational chunk in top-N</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Foundational injection fires. Highest-scoring F-series chunk inserted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Project context contradicts principles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Situational conflicts with Foundational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Composition prompt requires conflict to be named and resolved explicitly. The contradiction becomes the answer.</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Query too vague</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Query expansion produces noise</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Falls back to raw embedding on original query. Broad retrieval. Lower confidence signalled in output.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Missing corpus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No relevant Situational file exists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Answer proceeds on available knowledge. Gap flag: "No [domain/project] corpus — answer based on general patterns only."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Metadata mismatch</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Tags do not overlap with query hints</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Embedding similarity carries full weight. Metadata boosts simply do not fire. System degrades gracefully.</w:t>
            </w:r>
          </w:p>
        </w:tc>
      </w:tr>
    </w:tbl>
    <w:p>
      <w:pPr>
        <w:spacing w:after="0" w:before="0"/>
      </w:pPr>
    </w:p>
    <w:p>
      <w:r>
        <w:br w:type="page"/>
      </w:r>
    </w:p>
    <w:p>
      <w:pPr>
        <w:pStyle w:val="Heading2"/>
        <w:spacing w:after="40" w:before="280"/>
      </w:pPr>
      <w:r>
        <w:rPr>
          <w:rFonts w:ascii="Arial" w:cs="Arial" w:eastAsia="Arial" w:hAnsi="Arial"/>
          <w:b/>
          <w:bCs/>
          <w:color w:val="2E6DA4"/>
          <w:sz w:val="26"/>
          <w:szCs w:val="26"/>
        </w:rPr>
        <w:t xml:space="preserve">6.  RAG Registry — Full File Index</w:t>
      </w:r>
    </w:p>
    <w:p>
      <w:pPr>
        <w:pBdr>
          <w:bottom w:val="single" w:color="2E6DA4" w:sz="6" w:space="1"/>
        </w:pBdr>
        <w:spacing w:after="160" w:before="0"/>
      </w:pPr>
    </w:p>
    <w:p>
      <w:pPr>
        <w:spacing w:after="0" w:before="0"/>
      </w:pPr>
    </w:p>
    <w:p>
      <w:pPr>
        <w:spacing w:after="120" w:before="0"/>
      </w:pPr>
      <w:r>
        <w:rPr>
          <w:rFonts w:ascii="Arial" w:cs="Arial" w:eastAsia="Arial" w:hAnsi="Arial"/>
          <w:b w:val="false"/>
          <w:bCs w:val="false"/>
          <w:i w:val="false"/>
          <w:iCs w:val="false"/>
          <w:color w:val="222222"/>
          <w:sz w:val="22"/>
          <w:szCs w:val="22"/>
        </w:rPr>
        <w:t xml:space="preserve">Every file that enters the SprintZero system must be registered here before use. Status is updated as files are created. Descriptions state what a file IS — not what it contains. Examples belong in the files themselves.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3360"/>
      </w:tblGrid>
      <w:tr>
        <w:tc>
          <w:tcPr>
            <w:tcW w:type="dxa" w:w="1200"/>
            <w:tcBorders>
              <w:top w:val="single" w:color="276B47" w:sz="1"/>
              <w:left w:val="single" w:color="276B47" w:sz="1"/>
              <w:bottom w:val="single" w:color="276B47" w:sz="1"/>
              <w:right w:val="single" w:color="276B47" w:sz="1"/>
            </w:tcBorders>
            <w:shd w:fill="276B47" w:val="clear"/>
            <w:tcMar>
              <w:top w:type="dxa" w:w="60"/>
              <w:left w:type="dxa" w:w="120"/>
              <w:bottom w:type="dxa" w:w="60"/>
              <w:right w:type="dxa" w:w="120"/>
            </w:tcMar>
          </w:tcPr>
          <w:p>
            <w:pPr>
              <w:spacing w:after="0" w:before="0"/>
            </w:pPr>
            <w:r>
              <w:rPr>
                <w:rFonts w:ascii="Arial" w:cs="Arial" w:eastAsia="Arial" w:hAnsi="Arial"/>
                <w:b/>
                <w:bCs/>
                <w:color w:val="FFFFFF"/>
                <w:sz w:val="18"/>
                <w:szCs w:val="18"/>
              </w:rPr>
              <w:t xml:space="preserve">EXISTS</w:t>
            </w:r>
          </w:p>
        </w:tc>
        <w:tc>
          <w:tcPr>
            <w:tcW w:type="dxa" w:w="120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7"/>
                <w:szCs w:val="17"/>
              </w:rPr>
              <w:t xml:space="preserve">IN PROGRESS</w:t>
            </w:r>
          </w:p>
        </w:tc>
        <w:tc>
          <w:tcPr>
            <w:tcW w:type="dxa" w:w="1200"/>
            <w:tcBorders>
              <w:top w:val="single" w:color="666666" w:sz="1"/>
              <w:left w:val="single" w:color="666666" w:sz="1"/>
              <w:bottom w:val="single" w:color="666666" w:sz="1"/>
              <w:right w:val="single" w:color="666666" w:sz="1"/>
            </w:tcBorders>
            <w:shd w:fill="666666" w:val="clear"/>
            <w:tcMar>
              <w:top w:type="dxa" w:w="60"/>
              <w:left w:type="dxa" w:w="120"/>
              <w:bottom w:type="dxa" w:w="60"/>
              <w:right w:type="dxa" w:w="120"/>
            </w:tcMar>
          </w:tcPr>
          <w:p>
            <w:pPr>
              <w:spacing w:after="0" w:before="0"/>
            </w:pPr>
            <w:r>
              <w:rPr>
                <w:rFonts w:ascii="Arial" w:cs="Arial" w:eastAsia="Arial" w:hAnsi="Arial"/>
                <w:b/>
                <w:bCs/>
                <w:color w:val="FFFFFF"/>
                <w:sz w:val="18"/>
                <w:szCs w:val="18"/>
              </w:rPr>
              <w:t xml:space="preserve">PLANNED</w:t>
            </w:r>
          </w:p>
        </w:tc>
        <w:tc>
          <w:tcPr>
            <w:tcW w:type="dxa" w:w="1200"/>
            <w:tcBorders>
              <w:top w:val="single" w:color="B07800" w:sz="1"/>
              <w:left w:val="single" w:color="B07800" w:sz="1"/>
              <w:bottom w:val="single" w:color="B07800" w:sz="1"/>
              <w:right w:val="single" w:color="B07800" w:sz="1"/>
            </w:tcBorders>
            <w:shd w:fill="B07800" w:val="clear"/>
            <w:tcMar>
              <w:top w:type="dxa" w:w="60"/>
              <w:left w:type="dxa" w:w="120"/>
              <w:bottom w:type="dxa" w:w="60"/>
              <w:right w:type="dxa" w:w="120"/>
            </w:tcMar>
          </w:tcPr>
          <w:p>
            <w:pPr>
              <w:spacing w:after="0" w:before="0"/>
            </w:pPr>
            <w:r>
              <w:rPr>
                <w:rFonts w:ascii="Arial" w:cs="Arial" w:eastAsia="Arial" w:hAnsi="Arial"/>
                <w:b/>
                <w:bCs/>
                <w:color w:val="FFFFFF"/>
                <w:sz w:val="17"/>
                <w:szCs w:val="17"/>
              </w:rPr>
              <w:t xml:space="preserve">TEMPLATE</w:t>
            </w:r>
          </w:p>
        </w:tc>
        <w:tc>
          <w:tcPr>
            <w:tcW w:type="dxa" w:w="4560"/>
            <w:gridSpan w:val="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i/>
                <w:iCs/>
                <w:color w:val="666666"/>
                <w:sz w:val="17"/>
                <w:szCs w:val="17"/>
              </w:rPr>
              <w:t xml:space="preserve">File created and in use  ·  Actively being built  ·  Defined, not yet created  ·  Slot for future files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1100"/>
        <w:gridCol w:w="2320"/>
        <w:gridCol w:w="2580"/>
        <w:gridCol w:w="1180"/>
        <w:gridCol w:w="1500"/>
      </w:tblGrid>
      <w:tr>
        <w:trPr>
          <w:tblHeader/>
        </w:trPr>
        <w:tc>
          <w:tcPr>
            <w:tcW w:type="dxa" w:w="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11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Collection</w:t>
            </w:r>
          </w:p>
        </w:tc>
        <w:tc>
          <w:tcPr>
            <w:tcW w:type="dxa" w:w="23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Filename</w:t>
            </w:r>
          </w:p>
        </w:tc>
        <w:tc>
          <w:tcPr>
            <w:tcW w:type="dxa" w:w="25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1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Topics (sample)</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F-001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Foundational</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ux_principles_and_heuristics.md</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Core UX heuristics (Nielsen, Gestalt), cognitive load, mental models, affordances. Principles that apply regardless of product domain or research method.</w:t>
            </w:r>
          </w:p>
        </w:tc>
        <w:tc>
          <w:tcPr>
            <w:tcW w:type="dxa" w:w="1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usability, heuristics, cognitive load, mental models, affordances</w:t>
            </w:r>
          </w:p>
        </w:tc>
        <w:tc>
          <w:tcPr>
            <w:tcW w:type="dxa" w:w="1500"/>
            <w:tcBorders>
              <w:top w:val="single" w:color="CCCCCC" w:sz="1"/>
              <w:left w:val="single" w:color="CCCCCC" w:sz="1"/>
              <w:bottom w:val="single" w:color="CCCCCC" w:sz="1"/>
              <w:right w:val="single" w:color="CCCCCC" w:sz="1"/>
            </w:tcBorders>
            <w:shd w:fill="666666"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PLANNED</w:t>
            </w:r>
          </w:p>
        </w:tc>
      </w:tr>
      <w:tr>
        <w:tc>
          <w:tcPr>
            <w:tcW w:type="dxa" w:w="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F-002</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Foundational</w:t>
            </w:r>
          </w:p>
        </w:tc>
        <w:tc>
          <w:tcPr>
            <w:tcW w:type="dxa" w:w="23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cognitive_biases_in_ux_research.md</w:t>
            </w:r>
          </w:p>
        </w:tc>
        <w:tc>
          <w:tcPr>
            <w:tcW w:type="dxa" w:w="2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Taxonomy of cognitive biases that distort UX research: confirmation bias, availability heuristic, framing effects, social desirability. Covers both data collection and synthesis stages.</w:t>
            </w:r>
          </w:p>
        </w:tc>
        <w:tc>
          <w:tcPr>
            <w:tcW w:type="dxa" w:w="11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bias, research quality, synthesis errors, framing, confirmation bias</w:t>
            </w:r>
          </w:p>
        </w:tc>
        <w:tc>
          <w:tcPr>
            <w:tcW w:type="dxa" w:w="1500"/>
            <w:tcBorders>
              <w:top w:val="single" w:color="CCCCCC" w:sz="1"/>
              <w:left w:val="single" w:color="CCCCCC" w:sz="1"/>
              <w:bottom w:val="single" w:color="CCCCCC" w:sz="1"/>
              <w:right w:val="single" w:color="CCCCCC" w:sz="1"/>
            </w:tcBorders>
            <w:shd w:fill="666666"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PLANNED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F-003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Foundational</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research_methods_reference.md</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Method selection rules: when each research method is appropriate, its signal-to-noise characteristics, and its generalisability limits. Covers interviews, surveys, diary studies, App Store reviews, NPS, session recordings.</w:t>
            </w:r>
          </w:p>
        </w:tc>
        <w:tc>
          <w:tcPr>
            <w:tcW w:type="dxa" w:w="1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interviews, surveys, diary studies, app store, NPS, generalisability, methods</w:t>
            </w:r>
          </w:p>
        </w:tc>
        <w:tc>
          <w:tcPr>
            <w:tcW w:type="dxa" w:w="1500"/>
            <w:tcBorders>
              <w:top w:val="single" w:color="CCCCCC" w:sz="1"/>
              <w:left w:val="single" w:color="CCCCCC" w:sz="1"/>
              <w:bottom w:val="single" w:color="CCCCCC" w:sz="1"/>
              <w:right w:val="single" w:color="CCCCCC" w:sz="1"/>
            </w:tcBorders>
            <w:shd w:fill="666666"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PLANNED</w:t>
            </w:r>
          </w:p>
        </w:tc>
      </w:tr>
      <w:tr>
        <w:tc>
          <w:tcPr>
            <w:tcW w:type="dxa" w:w="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F-004</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Foundational</w:t>
            </w:r>
          </w:p>
        </w:tc>
        <w:tc>
          <w:tcPr>
            <w:tcW w:type="dxa" w:w="23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ai_capabilities_and_constraints.md</w:t>
            </w:r>
          </w:p>
        </w:tc>
        <w:tc>
          <w:tcPr>
            <w:tcW w:type="dxa" w:w="2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Reliable and unreliable LLM behaviours in research reasoning contexts. Covers confabulation mechanics, hallucination patterns, and the RAG vs pure generation distinction.</w:t>
            </w:r>
          </w:p>
        </w:tc>
        <w:tc>
          <w:tcPr>
            <w:tcW w:type="dxa" w:w="11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llm, hallucination, confabulation, rag, reliability, constraints</w:t>
            </w:r>
          </w:p>
        </w:tc>
        <w:tc>
          <w:tcPr>
            <w:tcW w:type="dxa" w:w="1500"/>
            <w:tcBorders>
              <w:top w:val="single" w:color="CCCCCC" w:sz="1"/>
              <w:left w:val="single" w:color="CCCCCC" w:sz="1"/>
              <w:bottom w:val="single" w:color="CCCCCC" w:sz="1"/>
              <w:right w:val="single" w:color="CCCCCC" w:sz="1"/>
            </w:tcBorders>
            <w:shd w:fill="666666"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PLANNED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F-005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Foundational</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insight_synthesis_failure_modes.md</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Eight failure modes in AI-assisted UX research synthesis: misclassification, overgeneralisation, theme conflation, transcript literalism, confabulation at scale, consistency collapse, insight ephemerality, trust without process. Grounded in NatWest practitioner evidence (Ogilvy) and SprintZero testing.</w:t>
            </w:r>
          </w:p>
        </w:tc>
        <w:tc>
          <w:tcPr>
            <w:tcW w:type="dxa" w:w="1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misclassification, synthesis, theme conflation, insight quality, failure modes, pitfalls</w:t>
            </w:r>
          </w:p>
        </w:tc>
        <w:tc>
          <w:tcPr>
            <w:tcW w:type="dxa" w:w="1500"/>
            <w:tcBorders>
              <w:top w:val="single" w:color="CCCCCC" w:sz="1"/>
              <w:left w:val="single" w:color="CCCCCC" w:sz="1"/>
              <w:bottom w:val="single" w:color="CCCCCC" w:sz="1"/>
              <w:right w:val="single" w:color="CCCCCC" w:sz="1"/>
            </w:tcBorders>
            <w:shd w:fill="276B47"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EXISTS</w:t>
            </w:r>
          </w:p>
        </w:tc>
      </w:tr>
      <w:tr>
        <w:tc>
          <w:tcPr>
            <w:tcW w:type="dxa" w:w="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A-001</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Applied</w:t>
            </w:r>
          </w:p>
        </w:tc>
        <w:tc>
          <w:tcPr>
            <w:tcW w:type="dxa" w:w="23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sprintzero_evaluation_framework.md</w:t>
            </w:r>
          </w:p>
        </w:tc>
        <w:tc>
          <w:tcPr>
            <w:tcW w:type="dxa" w:w="2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The SprintZero evaluation protocol. Specifies: STRONG / UNCERTAIN / WEAK verdict thresholds, classification logic (Corroboration / Contradiction / Expansion / Net New), falsification test requirements, transfer assumption check procedure, and the decision-change vs decision-enable distinction. Reusable across all corpora.</w:t>
            </w:r>
          </w:p>
        </w:tc>
        <w:tc>
          <w:tcPr>
            <w:tcW w:type="dxa" w:w="11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evaluation, verdicts, falsification, transfer assumption, protocol, classification</w:t>
            </w:r>
          </w:p>
        </w:tc>
        <w:tc>
          <w:tcPr>
            <w:tcW w:type="dxa" w:w="1500"/>
            <w:tcBorders>
              <w:top w:val="single" w:color="CCCCCC" w:sz="1"/>
              <w:left w:val="single" w:color="CCCCCC" w:sz="1"/>
              <w:bottom w:val="single" w:color="CCCCCC" w:sz="1"/>
              <w:right w:val="single" w:color="CCCCCC" w:sz="1"/>
            </w:tcBorders>
            <w:shd w:fill="276B47"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EXISTS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A-002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Applied</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corpus_annotation_protocol.md</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Rules for annotating a SprintZero corpus: evidence unit ID schema (R01-Rn, INT-01-INTn), required fields per unit (source type, date, participant ID, behavioural signal tags, sentiment, intent), counter-signal identification rules, and confidence scoring inputs.</w:t>
            </w:r>
          </w:p>
        </w:tc>
        <w:tc>
          <w:tcPr>
            <w:tcW w:type="dxa" w:w="1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annotation, corpus, review ids, signals, counter-signals, confidence, tagging</w:t>
            </w:r>
          </w:p>
        </w:tc>
        <w:tc>
          <w:tcPr>
            <w:tcW w:type="dxa" w:w="1500"/>
            <w:tcBorders>
              <w:top w:val="single" w:color="CCCCCC" w:sz="1"/>
              <w:left w:val="single" w:color="CCCCCC" w:sz="1"/>
              <w:bottom w:val="single" w:color="CCCCCC" w:sz="1"/>
              <w:right w:val="single" w:color="CCCCCC" w:sz="1"/>
            </w:tcBorders>
            <w:shd w:fill="666666"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PLANNED</w:t>
            </w:r>
          </w:p>
        </w:tc>
      </w:tr>
      <w:tr>
        <w:tc>
          <w:tcPr>
            <w:tcW w:type="dxa" w:w="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A-003</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Applied</w:t>
            </w:r>
          </w:p>
        </w:tc>
        <w:tc>
          <w:tcPr>
            <w:tcW w:type="dxa" w:w="23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rag_registry_management.md</w:t>
            </w:r>
          </w:p>
        </w:tc>
        <w:tc>
          <w:tcPr>
            <w:tcW w:type="dxa" w:w="2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Governance rules for the RAG Registry: how to add, update, retire, and gap-flag corpora. Versioning conventions, metadata schema, status lifecycle, and gap flag output format.</w:t>
            </w:r>
          </w:p>
        </w:tc>
        <w:tc>
          <w:tcPr>
            <w:tcW w:type="dxa" w:w="11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registry, metadata, versioning, gap flags, corpus management, governance</w:t>
            </w:r>
          </w:p>
        </w:tc>
        <w:tc>
          <w:tcPr>
            <w:tcW w:type="dxa" w:w="1500"/>
            <w:tcBorders>
              <w:top w:val="single" w:color="CCCCCC" w:sz="1"/>
              <w:left w:val="single" w:color="CCCCCC" w:sz="1"/>
              <w:bottom w:val="single" w:color="CCCCCC" w:sz="1"/>
              <w:right w:val="single" w:color="CCCCCC" w:sz="1"/>
            </w:tcBorders>
            <w:shd w:fill="2E6DA4"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IN PROGRESS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A-004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Applied</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sprintzero_copilot_role_task.txt</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Role and task definition for the SprintZero Research Copilot. Specifies the eight-step evaluation procedure, constraints on AI behaviour, and the refusal protocol for structurally absent evidence. Does not contain output format — see A-006.</w:t>
            </w:r>
          </w:p>
        </w:tc>
        <w:tc>
          <w:tcPr>
            <w:tcW w:type="dxa" w:w="1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copilot, role, task, evaluation procedure, refusal, constraints, system prompt</w:t>
            </w:r>
          </w:p>
        </w:tc>
        <w:tc>
          <w:tcPr>
            <w:tcW w:type="dxa" w:w="1500"/>
            <w:tcBorders>
              <w:top w:val="single" w:color="CCCCCC" w:sz="1"/>
              <w:left w:val="single" w:color="CCCCCC" w:sz="1"/>
              <w:bottom w:val="single" w:color="CCCCCC" w:sz="1"/>
              <w:right w:val="single" w:color="CCCCCC" w:sz="1"/>
            </w:tcBorders>
            <w:shd w:fill="276B47"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EXISTS</w:t>
            </w:r>
          </w:p>
        </w:tc>
      </w:tr>
      <w:tr>
        <w:tc>
          <w:tcPr>
            <w:tcW w:type="dxa" w:w="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A-005</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Applied</w:t>
            </w:r>
          </w:p>
        </w:tc>
        <w:tc>
          <w:tcPr>
            <w:tcW w:type="dxa" w:w="23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benchmark_query_set.md</w:t>
            </w:r>
          </w:p>
        </w:tc>
        <w:tc>
          <w:tcPr>
            <w:tcW w:type="dxa" w:w="2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15 benchmark queries for evaluating RAG retrieval quality across build phases. Specifies expected retrieval characteristics, source diversity requirements, and failure mode triggers for each query.</w:t>
            </w:r>
          </w:p>
        </w:tc>
        <w:tc>
          <w:tcPr>
            <w:tcW w:type="dxa" w:w="11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evaluation, benchmarks, testing, retrieval quality, failure modes, qa</w:t>
            </w:r>
          </w:p>
        </w:tc>
        <w:tc>
          <w:tcPr>
            <w:tcW w:type="dxa" w:w="1500"/>
            <w:tcBorders>
              <w:top w:val="single" w:color="CCCCCC" w:sz="1"/>
              <w:left w:val="single" w:color="CCCCCC" w:sz="1"/>
              <w:bottom w:val="single" w:color="CCCCCC" w:sz="1"/>
              <w:right w:val="single" w:color="CCCCCC" w:sz="1"/>
            </w:tcBorders>
            <w:shd w:fill="666666"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PLANNED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A-006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Applied</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sprintzero_output_schema.xml</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XML schema defining the required structure for every SprintZero response. Specifies all fields, required/conditional status, trigger conditions, and field-level rules. The application rendering layer reads this schema. The AI produces to this schema. No display logic here.</w:t>
            </w:r>
          </w:p>
        </w:tc>
        <w:tc>
          <w:tcPr>
            <w:tcW w:type="dxa" w:w="1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output, schema, xml, response format, structure, rendering contract</w:t>
            </w:r>
          </w:p>
        </w:tc>
        <w:tc>
          <w:tcPr>
            <w:tcW w:type="dxa" w:w="1500"/>
            <w:tcBorders>
              <w:top w:val="single" w:color="CCCCCC" w:sz="1"/>
              <w:left w:val="single" w:color="CCCCCC" w:sz="1"/>
              <w:bottom w:val="single" w:color="CCCCCC" w:sz="1"/>
              <w:right w:val="single" w:color="CCCCCC" w:sz="1"/>
            </w:tcBorders>
            <w:shd w:fill="276B47"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EXISTS</w:t>
            </w:r>
          </w:p>
        </w:tc>
      </w:tr>
      <w:tr>
        <w:tc>
          <w:tcPr>
            <w:tcW w:type="dxa" w:w="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A-007</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Applied</w:t>
            </w:r>
          </w:p>
        </w:tc>
        <w:tc>
          <w:tcPr>
            <w:tcW w:type="dxa" w:w="23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qa_agent_protocol.md</w:t>
            </w:r>
          </w:p>
        </w:tc>
        <w:tc>
          <w:tcPr>
            <w:tcW w:type="dxa" w:w="2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Protocol for the QA Validation Agent (Agent 2). Specifies the adversarial review procedure applied to Agent 1 output: reasoning validity check, counter-signal audit, confidence score challenge, transfer assumption depth check, and behavioural mechanism specificity test. Output schema: qa_review element appended to SprintZero_response.</w:t>
            </w:r>
          </w:p>
        </w:tc>
        <w:tc>
          <w:tcPr>
            <w:tcW w:type="dxa" w:w="11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qa, agent, validation, adversarial review, reasoning check, confidence audit</w:t>
            </w:r>
          </w:p>
        </w:tc>
        <w:tc>
          <w:tcPr>
            <w:tcW w:type="dxa" w:w="1500"/>
            <w:tcBorders>
              <w:top w:val="single" w:color="CCCCCC" w:sz="1"/>
              <w:left w:val="single" w:color="CCCCCC" w:sz="1"/>
              <w:bottom w:val="single" w:color="CCCCCC" w:sz="1"/>
              <w:right w:val="single" w:color="CCCCCC" w:sz="1"/>
            </w:tcBorders>
            <w:shd w:fill="666666"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PLANNED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C-001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Contextual</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domain_weather_apps.md</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Weather app domain knowledge required for transfer assumption reasoning. Covers: user trust formation patterns, data freshness expectations, Personal Weather Station density by geography, national meteorological service alternatives (MeteoSwiss, DWD, Météo-France), and EU vs US weather severity profiles.</w:t>
            </w:r>
          </w:p>
        </w:tc>
        <w:tc>
          <w:tcPr>
            <w:tcW w:type="dxa" w:w="1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weather, trust, data freshness, PWS density, EU transfer, meteorological services, national met</w:t>
            </w:r>
          </w:p>
        </w:tc>
        <w:tc>
          <w:tcPr>
            <w:tcW w:type="dxa" w:w="1500"/>
            <w:tcBorders>
              <w:top w:val="single" w:color="CCCCCC" w:sz="1"/>
              <w:left w:val="single" w:color="CCCCCC" w:sz="1"/>
              <w:bottom w:val="single" w:color="CCCCCC" w:sz="1"/>
              <w:right w:val="single" w:color="CCCCCC" w:sz="1"/>
            </w:tcBorders>
            <w:shd w:fill="666666"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PLANNED</w:t>
            </w:r>
          </w:p>
        </w:tc>
      </w:tr>
      <w:tr>
        <w:tc>
          <w:tcPr>
            <w:tcW w:type="dxa" w:w="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C-002</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Contextual</w:t>
            </w:r>
          </w:p>
        </w:tc>
        <w:tc>
          <w:tcPr>
            <w:tcW w:type="dxa" w:w="23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domain_fintech_compliance.md</w:t>
            </w:r>
          </w:p>
        </w:tc>
        <w:tc>
          <w:tcPr>
            <w:tcW w:type="dxa" w:w="2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Fintech UX domain constraints. Covers: regulatory onboarding requirements, KYC/AML friction patterns, user trust formation in financial data contexts, EU vs US regulatory structural differences.</w:t>
            </w:r>
          </w:p>
        </w:tc>
        <w:tc>
          <w:tcPr>
            <w:tcW w:type="dxa" w:w="11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fintech, compliance, onboarding, KYC, AML, regulatory, trust</w:t>
            </w:r>
          </w:p>
        </w:tc>
        <w:tc>
          <w:tcPr>
            <w:tcW w:type="dxa" w:w="1500"/>
            <w:tcBorders>
              <w:top w:val="single" w:color="CCCCCC" w:sz="1"/>
              <w:left w:val="single" w:color="CCCCCC" w:sz="1"/>
              <w:bottom w:val="single" w:color="CCCCCC" w:sz="1"/>
              <w:right w:val="single" w:color="CCCCCC" w:sz="1"/>
            </w:tcBorders>
            <w:shd w:fill="666666"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PLANNED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C-003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Contextual</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domain_b2b_saas.md</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B2B SaaS UX domain constraints. Covers: multi-stakeholder decision-making dynamics, champion vs end-user vs buyer role distinctions, enterprise onboarding complexity, admin/user permission patterns.</w:t>
            </w:r>
          </w:p>
        </w:tc>
        <w:tc>
          <w:tcPr>
            <w:tcW w:type="dxa" w:w="1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b2b, saas, enterprise, stakeholders, onboarding, admin, permissions</w:t>
            </w:r>
          </w:p>
        </w:tc>
        <w:tc>
          <w:tcPr>
            <w:tcW w:type="dxa" w:w="1500"/>
            <w:tcBorders>
              <w:top w:val="single" w:color="CCCCCC" w:sz="1"/>
              <w:left w:val="single" w:color="CCCCCC" w:sz="1"/>
              <w:bottom w:val="single" w:color="CCCCCC" w:sz="1"/>
              <w:right w:val="single" w:color="CCCCCC" w:sz="1"/>
            </w:tcBorders>
            <w:shd w:fill="666666"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PLANNED</w:t>
            </w:r>
          </w:p>
        </w:tc>
      </w:tr>
      <w:tr>
        <w:tc>
          <w:tcPr>
            <w:tcW w:type="dxa" w:w="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S-001</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Situational</w:t>
            </w:r>
          </w:p>
        </w:tc>
        <w:tc>
          <w:tcPr>
            <w:tcW w:type="dxa" w:w="23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corpus_weather_underground_app_store_reviews.md</w:t>
            </w:r>
          </w:p>
        </w:tc>
        <w:tc>
          <w:tcPr>
            <w:tcW w:type="dxa" w:w="25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13 annotated App Store reviews for Weather Underground (R01-R13). Each unit carries: date, star rating, behavioural signal tags, sentiment, user intent, and counter-signal flags. The founding corpus. S-001 is the evidence base for all Phase 1 benchmark queries.</w:t>
            </w:r>
          </w:p>
        </w:tc>
        <w:tc>
          <w:tcPr>
            <w:tcW w:type="dxa" w:w="11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weather underground, app store, reviews, trust, stale data, forecast accuracy, cache</w:t>
            </w:r>
          </w:p>
        </w:tc>
        <w:tc>
          <w:tcPr>
            <w:tcW w:type="dxa" w:w="1500"/>
            <w:tcBorders>
              <w:top w:val="single" w:color="CCCCCC" w:sz="1"/>
              <w:left w:val="single" w:color="CCCCCC" w:sz="1"/>
              <w:bottom w:val="single" w:color="CCCCCC" w:sz="1"/>
              <w:right w:val="single" w:color="CCCCCC" w:sz="1"/>
            </w:tcBorders>
            <w:shd w:fill="276B47"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EXISTS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8"/>
                <w:szCs w:val="18"/>
              </w:rPr>
              <w:t xml:space="preserve">S-002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18"/>
                <w:szCs w:val="18"/>
              </w:rPr>
              <w:t xml:space="preserve">Situational</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2E6DA4"/>
                <w:sz w:val="17"/>
                <w:szCs w:val="17"/>
              </w:rPr>
              <w:t xml:space="preserve">[project]_[source]_[date].md</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44444"/>
                <w:sz w:val="17"/>
                <w:szCs w:val="17"/>
              </w:rPr>
              <w:t xml:space="preserve">Template slot for future project-specific corpora. Replace with actual project name, source type, and date range. Each project generates one or more Situational files: interview transcripts (chunked by participant or session), survey verbatims, NPS comments, support tickets.</w:t>
            </w:r>
          </w:p>
        </w:tc>
        <w:tc>
          <w:tcPr>
            <w:tcW w:type="dxa" w:w="1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i/>
                <w:iCs/>
                <w:color w:val="666666"/>
                <w:sz w:val="16"/>
                <w:szCs w:val="16"/>
              </w:rPr>
              <w:t xml:space="preserve">project-specific, transcripts, surveys, NPS, support tickets</w:t>
            </w:r>
          </w:p>
        </w:tc>
        <w:tc>
          <w:tcPr>
            <w:tcW w:type="dxa" w:w="1500"/>
            <w:tcBorders>
              <w:top w:val="single" w:color="CCCCCC" w:sz="1"/>
              <w:left w:val="single" w:color="CCCCCC" w:sz="1"/>
              <w:bottom w:val="single" w:color="CCCCCC" w:sz="1"/>
              <w:right w:val="single" w:color="CCCCCC" w:sz="1"/>
            </w:tcBorders>
            <w:shd w:fill="B07800"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TEMPLATE</w:t>
            </w:r>
          </w:p>
        </w:tc>
      </w:tr>
    </w:tbl>
    <w:p>
      <w:pPr>
        <w:spacing w:after="0" w:before="0"/>
      </w:pPr>
    </w:p>
    <w:p>
      <w:r>
        <w:br w:type="page"/>
      </w:r>
    </w:p>
    <w:p>
      <w:pPr>
        <w:pStyle w:val="Heading2"/>
        <w:spacing w:after="40" w:before="280"/>
      </w:pPr>
      <w:r>
        <w:rPr>
          <w:rFonts w:ascii="Arial" w:cs="Arial" w:eastAsia="Arial" w:hAnsi="Arial"/>
          <w:b/>
          <w:bCs/>
          <w:color w:val="2E6DA4"/>
          <w:sz w:val="26"/>
          <w:szCs w:val="26"/>
        </w:rPr>
        <w:t xml:space="preserve">7.  Build Sequence</w:t>
      </w:r>
    </w:p>
    <w:p>
      <w:pPr>
        <w:pBdr>
          <w:bottom w:val="single" w:color="2E6DA4" w:sz="6" w:space="1"/>
        </w:pBdr>
        <w:spacing w:after="160" w:before="0"/>
      </w:pPr>
    </w:p>
    <w:p>
      <w:pPr>
        <w:spacing w:after="0" w:before="0"/>
      </w:pPr>
    </w:p>
    <w:p>
      <w:pPr>
        <w:spacing w:after="120" w:before="0"/>
      </w:pPr>
      <w:r>
        <w:rPr>
          <w:rFonts w:ascii="Arial" w:cs="Arial" w:eastAsia="Arial" w:hAnsi="Arial"/>
          <w:b w:val="false"/>
          <w:bCs w:val="false"/>
          <w:i w:val="false"/>
          <w:iCs w:val="false"/>
          <w:color w:val="222222"/>
          <w:sz w:val="22"/>
          <w:szCs w:val="22"/>
        </w:rPr>
        <w:t xml:space="preserve">Complexity is added only when a specific benchmark failure justifies it. Each phase has a clear before/after. When something breaks, the pipeline stage is identifiable.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Files Introduced</w:t>
            </w:r>
          </w:p>
        </w:tc>
        <w:tc>
          <w:tcPr>
            <w:tcW w:type="dxa" w:w="62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F-005, A-001, S-001</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Raw embedding only. No metadata. No scoring boosts. Run 5 benchmark queries. Establish baseline. Add nothing until a failure justifies it.</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Phase 2</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F-002, F-003, C-001, A-002</w:t>
            </w:r>
          </w:p>
        </w:tc>
        <w:tc>
          <w:tcPr>
            <w:tcW w:type="dxa" w:w="6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Add metadata schema. Add topic overlap boost. Add first Contextual file (weather domain). Re-run benchmarks.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A-004, A-006, A-007</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Separation of concerns refactor. Role/task (A-004) and output schema (A-006) split from prompt template. QA agent protocol (A-007) registered. Composition prompt updated to reference schema. Full 15-query benchmark run (A-005).</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Phase 4</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F-001, F-004, A-003, A-005, S-002+</w:t>
            </w:r>
          </w:p>
        </w:tc>
        <w:tc>
          <w:tcPr>
            <w:tcW w:type="dxa" w:w="6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Add diversity enforcement. Add Situational project corpora. Add gap flagging. Foundational injection live. Registry management file complete. Benchmark set published.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B3A5C"/>
                <w:sz w:val="19"/>
                <w:szCs w:val="19"/>
              </w:rPr>
              <w:t xml:space="preserve">Phase 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All remaining</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9"/>
                <w:szCs w:val="19"/>
              </w:rPr>
              <w:t xml:space="preserve">Failure mode responses. Ambiguous query benchmarks. Additional Contextual domain files added as real projects demand them.</w:t>
            </w:r>
          </w:p>
        </w:tc>
      </w:tr>
    </w:tbl>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2E6DA4" w:sz="1"/>
              <w:left w:val="single" w:color="2E6DA4" w:sz="1"/>
              <w:bottom w:val="single" w:color="2E6DA4" w:sz="1"/>
              <w:right w:val="single" w:color="2E6DA4" w:sz="1"/>
            </w:tcBorders>
            <w:shd w:fill="2E6DA4" w:val="clear"/>
            <w:tcMar>
              <w:top w:type="dxa" w:w="80"/>
              <w:left w:type="dxa" w:w="60"/>
              <w:bottom w:type="dxa" w:w="80"/>
              <w:right w:type="dxa" w:w="60"/>
            </w:tcMar>
          </w:tcPr>
          <w:p/>
        </w:tc>
        <w:tc>
          <w:tcPr>
            <w:tcW w:type="dxa" w:w="9180"/>
            <w:tcBorders>
              <w:top w:val="single" w:color="2E6DA4" w:sz="1"/>
              <w:left w:val="none" w:color="FFFFFF" w:sz="0"/>
              <w:bottom w:val="single" w:color="2E6DA4" w:sz="1"/>
              <w:right w:val="single" w:color="2E6DA4" w:sz="1"/>
            </w:tcBorders>
            <w:shd w:fill="F5F7FA" w:val="clear"/>
            <w:tcMar>
              <w:top w:type="dxa" w:w="100"/>
              <w:left w:type="dxa" w:w="160"/>
              <w:bottom w:type="dxa" w:w="100"/>
              <w:right w:type="dxa" w:w="160"/>
            </w:tcMar>
          </w:tcPr>
          <w:p>
            <w:pPr>
              <w:spacing w:after="0" w:before="0"/>
            </w:pPr>
            <w:r>
              <w:rPr>
                <w:rFonts w:ascii="Arial" w:cs="Arial" w:eastAsia="Arial" w:hAnsi="Arial"/>
                <w:i/>
                <w:iCs/>
                <w:color w:val="333333"/>
                <w:sz w:val="20"/>
                <w:szCs w:val="20"/>
              </w:rPr>
              <w:t xml:space="preserve">Phase 3 is now. Separation of concerns: role/task, output schema, and QA agent protocol are registered as independent files. The rendering layer reads the schema. The AI produces to the schema. They never need to know about each other.</w:t>
            </w:r>
          </w:p>
        </w:tc>
      </w:tr>
    </w:tbl>
    <w:p>
      <w:pPr>
        <w:spacing w:after="0" w:before="0"/>
      </w:pPr>
    </w:p>
    <w:p>
      <w:pPr>
        <w:pStyle w:val="Heading2"/>
        <w:spacing w:after="40" w:before="280"/>
      </w:pPr>
      <w:r>
        <w:rPr>
          <w:rFonts w:ascii="Arial" w:cs="Arial" w:eastAsia="Arial" w:hAnsi="Arial"/>
          <w:b/>
          <w:bCs/>
          <w:color w:val="2E6DA4"/>
          <w:sz w:val="26"/>
          <w:szCs w:val="26"/>
        </w:rPr>
        <w:t xml:space="preserve">8.  Registry Governance</w:t>
      </w:r>
    </w:p>
    <w:p>
      <w:pPr>
        <w:pBdr>
          <w:bottom w:val="single" w:color="2E6DA4" w:sz="6" w:space="1"/>
        </w:pBdr>
        <w:spacing w:after="160" w:before="0"/>
      </w:pPr>
    </w:p>
    <w:p>
      <w:pPr>
        <w:spacing w:after="0" w:before="0"/>
      </w:pPr>
    </w:p>
    <w:p>
      <w:pPr>
        <w:spacing w:after="120" w:before="0"/>
      </w:pPr>
      <w:r>
        <w:rPr>
          <w:rFonts w:ascii="Arial" w:cs="Arial" w:eastAsia="Arial" w:hAnsi="Arial"/>
          <w:b w:val="false"/>
          <w:bCs w:val="false"/>
          <w:i w:val="false"/>
          <w:iCs w:val="false"/>
          <w:color w:val="222222"/>
          <w:sz w:val="22"/>
          <w:szCs w:val="22"/>
        </w:rPr>
        <w:t xml:space="preserve">Rules for keeping the Registry honest as the system grows:</w:t>
      </w:r>
    </w:p>
    <w:p>
      <w:pPr>
        <w:spacing w:after="0" w:before="0"/>
      </w:pPr>
    </w:p>
    <w:p>
      <w:pPr>
        <w:pStyle w:val="ListParagraph"/>
        <w:numPr>
          <w:ilvl w:val="0"/>
          <w:numId w:val="2"/>
        </w:numPr>
        <w:spacing w:after="100" w:before="0"/>
      </w:pPr>
      <w:r>
        <w:rPr>
          <w:rFonts w:ascii="Arial" w:cs="Arial" w:eastAsia="Arial" w:hAnsi="Arial"/>
          <w:color w:val="333333"/>
          <w:sz w:val="22"/>
          <w:szCs w:val="22"/>
        </w:rPr>
        <w:t xml:space="preserve">Every file must be registered before it enters the system. No unregistered files in production.</w:t>
      </w:r>
    </w:p>
    <w:p>
      <w:pPr>
        <w:pStyle w:val="ListParagraph"/>
        <w:numPr>
          <w:ilvl w:val="0"/>
          <w:numId w:val="2"/>
        </w:numPr>
        <w:spacing w:after="100" w:before="0"/>
      </w:pPr>
      <w:r>
        <w:rPr>
          <w:rFonts w:ascii="Arial" w:cs="Arial" w:eastAsia="Arial" w:hAnsi="Arial"/>
          <w:color w:val="333333"/>
          <w:sz w:val="22"/>
          <w:szCs w:val="22"/>
        </w:rPr>
        <w:t xml:space="preserve">Status must be kept current. A file marked PLANNED that has been created without updating the Registry is a gap.</w:t>
      </w:r>
    </w:p>
    <w:p>
      <w:pPr>
        <w:pStyle w:val="ListParagraph"/>
        <w:numPr>
          <w:ilvl w:val="0"/>
          <w:numId w:val="2"/>
        </w:numPr>
        <w:spacing w:after="100" w:before="0"/>
      </w:pPr>
      <w:r>
        <w:rPr>
          <w:rFonts w:ascii="Arial" w:cs="Arial" w:eastAsia="Arial" w:hAnsi="Arial"/>
          <w:color w:val="333333"/>
          <w:sz w:val="22"/>
          <w:szCs w:val="22"/>
        </w:rPr>
        <w:t xml:space="preserve">Gap flags in system output must be traceable to a missing Registry entry. If a gap flag appears for a corpus that should exist, the Registry has failed.</w:t>
      </w:r>
    </w:p>
    <w:p>
      <w:pPr>
        <w:pStyle w:val="ListParagraph"/>
        <w:numPr>
          <w:ilvl w:val="0"/>
          <w:numId w:val="2"/>
        </w:numPr>
        <w:spacing w:after="100" w:before="0"/>
      </w:pPr>
      <w:r>
        <w:rPr>
          <w:rFonts w:ascii="Arial" w:cs="Arial" w:eastAsia="Arial" w:hAnsi="Arial"/>
          <w:color w:val="333333"/>
          <w:sz w:val="22"/>
          <w:szCs w:val="22"/>
        </w:rPr>
        <w:t xml:space="preserve">Strength ratings are assigned at creation and reviewed when a file is updated. Anecdotal files may be promoted to established if validated across multiple projects.</w:t>
      </w:r>
    </w:p>
    <w:p>
      <w:pPr>
        <w:pStyle w:val="ListParagraph"/>
        <w:numPr>
          <w:ilvl w:val="0"/>
          <w:numId w:val="2"/>
        </w:numPr>
        <w:spacing w:after="100" w:before="0"/>
      </w:pPr>
      <w:r>
        <w:rPr>
          <w:rFonts w:ascii="Arial" w:cs="Arial" w:eastAsia="Arial" w:hAnsi="Arial"/>
          <w:color w:val="333333"/>
          <w:sz w:val="22"/>
          <w:szCs w:val="22"/>
        </w:rPr>
        <w:t xml:space="preserve">Situational files are project-scoped. They are retired (not deleted) when a project closes. The Registry retains the entry with status ARCHIVED and a closing date.</w:t>
      </w:r>
    </w:p>
    <w:p>
      <w:pPr>
        <w:spacing w:after="0" w:before="0"/>
      </w:pPr>
    </w:p>
    <w:p>
      <w:pPr>
        <w:spacing w:after="0" w:before="0"/>
      </w:pPr>
    </w:p>
    <w:p>
      <w:pPr>
        <w:pBdr>
          <w:bottom w:val="single" w:color="1B3A5C" w:sz="6" w:space="1"/>
        </w:pBdr>
        <w:spacing w:after="160" w:before="0"/>
      </w:pPr>
    </w:p>
    <w:p>
      <w:pPr>
        <w:spacing w:after="0" w:before="0"/>
      </w:pPr>
    </w:p>
    <w:p>
      <w:pPr>
        <w:spacing w:after="0" w:before="0"/>
        <w:jc w:val="center"/>
      </w:pPr>
      <w:r>
        <w:rPr>
          <w:rFonts w:ascii="Arial" w:cs="Arial" w:eastAsia="Arial" w:hAnsi="Arial"/>
          <w:i/>
          <w:iCs/>
          <w:color w:val="666666"/>
          <w:sz w:val="18"/>
          <w:szCs w:val="18"/>
        </w:rPr>
        <w:t xml:space="preserve">SprintZero  ·  RAG Registry V2  ·  Phase 3  ·  Niko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0"/>
    </w:pPr>
    <w:r>
      <w:rPr>
        <w:rFonts w:ascii="Arial" w:cs="Arial" w:eastAsia="Arial" w:hAnsi="Arial"/>
        <w:i/>
        <w:iCs/>
        <w:color w:val="666666"/>
        <w:sz w:val="16"/>
        <w:szCs w:val="16"/>
      </w:rPr>
      <w:t xml:space="preserve">SprintZero is a reasoning QA layer — not a research tool</w:t>
    </w:r>
    <w:r>
      <w:rPr>
        <w:rFonts w:ascii="Arial" w:cs="Arial" w:eastAsia="Arial" w:hAnsi="Arial"/>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spacing w:after="0" w:before="0"/>
    </w:pPr>
    <w:r>
      <w:rPr>
        <w:rFonts w:ascii="Arial" w:cs="Arial" w:eastAsia="Arial" w:hAnsi="Arial"/>
        <w:color w:val="2E6DA4"/>
        <w:sz w:val="18"/>
        <w:szCs w:val="18"/>
      </w:rPr>
      <w:t xml:space="preserve">SprintZero  ·  RAG Registry V2  ·  Phase 3</w:t>
    </w:r>
    <w:r>
      <w:rPr>
        <w:rFonts w:ascii="Arial" w:cs="Arial" w:eastAsia="Arial" w:hAnsi="Arial"/>
        <w:color w:val="666666"/>
        <w:sz w:val="18"/>
        <w:szCs w:val="18"/>
      </w:rPr>
      <w:t xml:space="preserve">    Niko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4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2026-05-14T06:22:54.229Z</dcterms:created>
  <dcterms:modified xsi:type="dcterms:W3CDTF">2026-05-14T06:22:54.229Z</dcterms:modified>
</cp:coreProperties>
</file>

<file path=docProps/custom.xml><?xml version="1.0" encoding="utf-8"?>
<Properties xmlns="http://schemas.openxmlformats.org/officeDocument/2006/custom-properties" xmlns:vt="http://schemas.openxmlformats.org/officeDocument/2006/docPropsVTypes"/>
</file>