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Research Report: 请帮我为汽车发动机领域做一个深度研究</w:t>
      </w:r>
    </w:p>
    <w:p>
      <w:pPr>
        <w:jc w:val="center"/>
      </w:pPr>
      <w:r>
        <w:rPr>
          <w:rFonts w:ascii="Times New Roman" w:hAnsi="Times New Roman"/>
          <w:sz w:val="22"/>
        </w:rPr>
        <w:t>Generated by RAAA Deep Research</w:t>
      </w:r>
    </w:p>
    <w:p>
      <w:pPr>
        <w:jc w:val="center"/>
      </w:pPr>
      <w:r>
        <w:rPr>
          <w:rFonts w:ascii="Times New Roman" w:hAnsi="Times New Roman"/>
          <w:i/>
          <w:sz w:val="20"/>
        </w:rPr>
        <w:t>February 01, 2026</w:t>
      </w:r>
    </w:p>
    <w:p/>
    <w:p>
      <w:r>
        <w:br w:type="page"/>
      </w:r>
    </w:p>
    <w:p>
      <w:pPr>
        <w:pStyle w:val="Heading1"/>
      </w:pPr>
      <w:r>
        <w:rPr>
          <w:rFonts w:ascii="Times New Roman" w:hAnsi="Times New Roman"/>
          <w:sz w:val="28"/>
        </w:rPr>
        <w:t>THE EVOLUTION AND FUTURE OF AUTOMOTIVE PROPERTRAINS: A COMPREHENSIVE ANALYSIS OF TECHNOLOGY, MARKET, AND STRATEGY</w:t>
      </w:r>
    </w:p>
    <w:p>
      <w:pPr>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img_beb7e7545cd3.jpg"/>
                    <pic:cNvPicPr/>
                  </pic:nvPicPr>
                  <pic:blipFill>
                    <a:blip r:embed="rId9"/>
                    <a:stretch>
                      <a:fillRect/>
                    </a:stretch>
                  </pic:blipFill>
                  <pic:spPr>
                    <a:xfrm>
                      <a:off x="0" y="0"/>
                      <a:ext cx="4114800" cy="4114800"/>
                    </a:xfrm>
                    <a:prstGeom prst="rect"/>
                  </pic:spPr>
                </pic:pic>
              </a:graphicData>
            </a:graphic>
          </wp:inline>
        </w:drawing>
      </w:r>
    </w:p>
    <w:p>
      <w:pPr>
        <w:jc w:val="center"/>
      </w:pPr>
      <w:r>
        <w:rPr>
          <w:rFonts w:ascii="Times New Roman" w:hAnsi="Times New Roman"/>
          <w:sz w:val="18"/>
        </w:rPr>
        <w:t>Figure 1. What Are the Internal Combustion Engines? Their Components Explained ... (Source: Bing)</w:t>
      </w:r>
    </w:p>
    <w:p>
      <w:pPr>
        <w:pStyle w:val="Heading2"/>
      </w:pPr>
      <w:r>
        <w:rPr>
          <w:rFonts w:ascii="Times New Roman" w:hAnsi="Times New Roman"/>
          <w:sz w:val="24"/>
        </w:rPr>
        <w:t>Executive Summary</w:t>
      </w:r>
    </w:p>
    <w:p>
      <w:pPr>
        <w:jc w:val="both"/>
      </w:pPr>
      <w:r>
        <w:rPr>
          <w:rFonts w:ascii="Times New Roman" w:hAnsi="Times New Roman"/>
          <w:sz w:val="20"/>
        </w:rPr>
        <w:t>This report provides a comprehensive, in-depth analysis of the global automotive powertrain sector, a market in the midst of a historic transformation. The research synthesizes technical, economic, and strategic data to map the journey from the internal combustion engine's (ICE) dominance to the multi-pathway future defined by electrification, advanced combustion, and alternative fuels.</w:t>
      </w:r>
    </w:p>
    <w:p>
      <w:pPr>
        <w:jc w:val="both"/>
      </w:pPr>
      <w:r>
        <w:rPr>
          <w:rFonts w:ascii="Times New Roman" w:hAnsi="Times New Roman"/>
          <w:sz w:val="20"/>
        </w:rPr>
        <w:t>Research Objectives and Scope: The study aims to define the core technologies of modern powertrains, analyze current market dynamics and key players, investigate technical innovations, assess comparative performance and environmental impact, and forecast future trends. The scope encompasses internal combustion engines (gasoline and diesel), hybrid electric systems (HEV/PHEV), and battery electric vehicles (BEV), with consideration for hydrogen fuel cells and synthetic fuels.</w:t>
      </w:r>
    </w:p>
    <w:p>
      <w:pPr>
        <w:jc w:val="both"/>
      </w:pPr>
      <w:r>
        <w:rPr>
          <w:rFonts w:ascii="Times New Roman" w:hAnsi="Times New Roman"/>
          <w:sz w:val="20"/>
        </w:rPr>
        <w:t>Key Findings Overview:</w:t>
      </w:r>
    </w:p>
    <w:p>
      <w:pPr>
        <w:pStyle w:val="ListNumber"/>
      </w:pPr>
      <w:r>
        <w:rPr>
          <w:rFonts w:ascii="Times New Roman" w:hAnsi="Times New Roman"/>
          <w:sz w:val="20"/>
        </w:rPr>
        <w:t xml:space="preserve"> Market in Transition: The global automotive engine market, valued between USD 85-105 billion, exhibits steady but modest growth (CAGR 2.3%-3.8%), masking a fundamental structural shift. While ICE revenues are projected to grow slowly to ~$260 billion by 2034, electric vehicle sales have passed a critical tipping point, exceeding 17 million units and capturing over 20% of the global new car market in 2024.</w:t>
      </w:r>
    </w:p>
    <w:p>
      <w:pPr>
        <w:pStyle w:val="ListNumber"/>
      </w:pPr>
      <w:r>
        <w:rPr>
          <w:rFonts w:ascii="Times New Roman" w:hAnsi="Times New Roman"/>
          <w:sz w:val="20"/>
        </w:rPr>
        <w:t xml:space="preserve"> Technological Convergence: Modern propulsion is defined by the integration of advanced ICE technologies—turbocharging, gasoline direct injection (GDI), variable valve timing (VVT), and cylinder deactivation—with sophisticated electronic control units (ECUs). This software-defined approach is essential for meeting stringent efficiency and emissions targets.</w:t>
      </w:r>
    </w:p>
    <w:p>
      <w:pPr>
        <w:pStyle w:val="ListNumber"/>
      </w:pPr>
      <w:r>
        <w:rPr>
          <w:rFonts w:ascii="Times New Roman" w:hAnsi="Times New Roman"/>
          <w:sz w:val="20"/>
        </w:rPr>
        <w:t xml:space="preserve"> Dual Strategic Pathways: Leading manufacturers (Toyota, Volkswagen, GM, Hyundai, Stellantis) and suppliers (Bosch, Cummins, Denso) are executing parallel strategies: refining ICE for maximum efficiency and developing dedicated electric platforms. Case studies of Toyota's Hybrid Synergy Drive, Mazda's SkyActiv-X, and Tesla's electric powertrain exemplify successful, philosophically distinct approaches to this challenge.</w:t>
      </w:r>
    </w:p>
    <w:p>
      <w:pPr>
        <w:pStyle w:val="ListNumber"/>
      </w:pPr>
      <w:r>
        <w:rPr>
          <w:rFonts w:ascii="Times New Roman" w:hAnsi="Times New Roman"/>
          <w:sz w:val="20"/>
        </w:rPr>
        <w:t xml:space="preserve"> Supply Chain Vulnerability: The transition exposes critical dependencies, most notably on rare earth elements (REEs) for electric motors, where China controls approximately 90% of global processing. This has triggered global initiatives for supply chain reshoring, recycling mandates (e.g., EU's 10% recycled REE target by 2030), and R&amp;D into rare-earth-free motor technologies.</w:t>
      </w:r>
    </w:p>
    <w:p>
      <w:pPr>
        <w:pStyle w:val="ListNumber"/>
      </w:pPr>
      <w:r>
        <w:rPr>
          <w:rFonts w:ascii="Times New Roman" w:hAnsi="Times New Roman"/>
          <w:sz w:val="20"/>
        </w:rPr>
        <w:t xml:space="preserve"> Regulation as Primary Catalyst: Stringent emissions standards (Euro 7, U.S. Tier 3) and zero-emission vehicle mandates are the most powerful forces reshaping the industry, driving innovation and accelerating the adoption of electrified powertrains.</w:t>
      </w:r>
    </w:p>
    <w:p>
      <w:pPr>
        <w:jc w:val="both"/>
      </w:pPr>
      <w:r>
        <w:rPr>
          <w:rFonts w:ascii="Times New Roman" w:hAnsi="Times New Roman"/>
          <w:sz w:val="20"/>
        </w:rPr>
        <w:t>Critical Insights and Recommendations:</w:t>
      </w:r>
    </w:p>
    <w:p>
      <w:pPr>
        <w:pStyle w:val="ListBullet"/>
      </w:pPr>
      <w:r>
        <w:rPr>
          <w:rFonts w:ascii="Times New Roman" w:hAnsi="Times New Roman"/>
          <w:sz w:val="20"/>
        </w:rPr>
        <w:t xml:space="preserve">  For Policymakers: Support must extend beyond consumer subsidies to include investment in critical material supply chains, charging/hydrogen refueling infrastructure, and R&amp;D for next-generation batteries and green hydrogen production. Regulations should be technology-agnostic, focusing on lifecycle carbon intensity.</w:t>
      </w:r>
    </w:p>
    <w:p>
      <w:pPr>
        <w:pStyle w:val="ListBullet"/>
      </w:pPr>
      <w:r>
        <w:rPr>
          <w:rFonts w:ascii="Times New Roman" w:hAnsi="Times New Roman"/>
          <w:sz w:val="20"/>
        </w:rPr>
        <w:t xml:space="preserve">  For Automakers: A balanced portfolio strategy is prudent. Continue to leverage hybrids as a crucial bridge technology, especially in emerging markets, while aggressively scaling BEV platforms. Strategic partnerships for battery supply and software development are essential to manage cost and risk.</w:t>
      </w:r>
    </w:p>
    <w:p>
      <w:pPr>
        <w:pStyle w:val="ListBullet"/>
      </w:pPr>
      <w:r>
        <w:rPr>
          <w:rFonts w:ascii="Times New Roman" w:hAnsi="Times New Roman"/>
          <w:sz w:val="20"/>
        </w:rPr>
        <w:t xml:space="preserve">  For Suppliers: Invest in dual competency. Component suppliers must evolve from mechanical specialists to providers of integrated, software-enabled systems for both advanced ICE and electric drivetrains. Diversification away from single-source, geopolitically sensitive raw materials is a strategic imperative.</w:t>
      </w:r>
    </w:p>
    <w:p>
      <w:pPr>
        <w:pStyle w:val="ListBullet"/>
      </w:pPr>
      <w:r>
        <w:rPr>
          <w:rFonts w:ascii="Times New Roman" w:hAnsi="Times New Roman"/>
          <w:sz w:val="20"/>
        </w:rPr>
        <w:t xml:space="preserve">  For Investors: The sector presents opportunities across the value chain but requires nuanced analysis. Growth is strongest in electrification-enabling technologies (batteries, power electronics, software), while established ICE and hybrid segments offer stable, if slower-growing, returns. Monitor companies leading in supply chain resilience and technological diversification.</w:t>
      </w:r>
    </w:p>
    <w:p>
      <w:pPr>
        <w:jc w:val="both"/>
      </w:pPr>
      <w:r>
        <w:rPr>
          <w:rFonts w:ascii="Times New Roman" w:hAnsi="Times New Roman"/>
          <w:sz w:val="20"/>
        </w:rPr>
        <w:t>The automotive powertrain industry is not facing a simple replacement of one technology by another but a complex, multi-decade transition. Success will belong to those who can navigate the interplay of technological innovation, regulatory pressure, supply chain security, and evolving consumer preferences.</w:t>
      </w:r>
    </w:p>
    <w:p>
      <w:pPr>
        <w:pStyle w:val="Heading2"/>
      </w:pPr>
      <w:r>
        <w:rPr>
          <w:rFonts w:ascii="Times New Roman" w:hAnsi="Times New Roman"/>
          <w:sz w:val="24"/>
        </w:rPr>
        <w:t>1. Introduction</w:t>
      </w:r>
    </w:p>
    <w:p>
      <w:pPr>
        <w:pStyle w:val="Heading3"/>
      </w:pPr>
      <w:r>
        <w:rPr>
          <w:rFonts w:ascii="Times New Roman" w:hAnsi="Times New Roman"/>
          <w:sz w:val="22"/>
        </w:rPr>
        <w:t>1.1 Background and Context</w:t>
      </w:r>
    </w:p>
    <w:p>
      <w:pPr>
        <w:jc w:val="both"/>
      </w:pPr>
      <w:r>
        <w:rPr>
          <w:rFonts w:ascii="Times New Roman" w:hAnsi="Times New Roman"/>
          <w:sz w:val="20"/>
        </w:rPr>
        <w:t>The automotive powertrain—the system responsible for generating and delivering power to the wheels—stands at the epicenter of the global transportation sector's greatest transformation since the replacement of the horse and carriage. For over a century, the internal combustion engine (ICE) has been the undisputed king of personal mobility, shaping economies, cultures, and the global geopolitical landscape through its insatiable appetite for petroleum. However, this dominance is now being challenged by a confluence of existential pressures: the urgent need to mitigate climate change by decarbonizing transport, growing concerns over urban air quality, rapid advancements in battery and digital technology, and shifting consumer expectations.</w:t>
      </w:r>
    </w:p>
    <w:p>
      <w:pPr>
        <w:jc w:val="both"/>
      </w:pPr>
      <w:r>
        <w:rPr>
          <w:rFonts w:ascii="Times New Roman" w:hAnsi="Times New Roman"/>
          <w:sz w:val="20"/>
        </w:rPr>
        <w:t>This transition is not a singular event but a dynamic, multi-speed evolution. In major markets like China, Europe, and North America, battery electric vehicles (BEVs) are achieving mainstream adoption. In parallel, hybrid electric vehicles (HEVs) and plug-in hybrids (PHEVs) serve as a critical bridge, blending ICE efficiency with electric capability. Simultaneously, intensive R&amp;D continues to push the boundaries of ICE efficiency through advanced combustion strategies and electrification-enabling technologies. Emerging on the horizon are hydrogen fuel cells and synthetic fuels, promising solutions for specific, hard-to-electrify segments. Understanding this complex landscape requires a holistic analysis that spans technology, market economics, supply chains, and policy.</w:t>
      </w:r>
    </w:p>
    <w:p>
      <w:pPr>
        <w:pStyle w:val="Heading3"/>
      </w:pPr>
      <w:r>
        <w:rPr>
          <w:rFonts w:ascii="Times New Roman" w:hAnsi="Times New Roman"/>
          <w:sz w:val="22"/>
        </w:rPr>
        <w:t>1.2 Research Methodology</w:t>
      </w:r>
    </w:p>
    <w:p>
      <w:pPr>
        <w:jc w:val="both"/>
      </w:pPr>
      <w:r>
        <w:rPr>
          <w:rFonts w:ascii="Times New Roman" w:hAnsi="Times New Roman"/>
          <w:sz w:val="20"/>
        </w:rPr>
        <w:t>This report is based on a systematic synthesis of secondary research data from a wide array of authoritative sources. The methodology involved:</w:t>
      </w:r>
    </w:p>
    <w:p>
      <w:pPr>
        <w:pStyle w:val="ListBullet"/>
      </w:pPr>
      <w:r>
        <w:rPr>
          <w:rFonts w:ascii="Times New Roman" w:hAnsi="Times New Roman"/>
          <w:sz w:val="20"/>
        </w:rPr>
        <w:t xml:space="preserve">  Data Aggregation: Collecting and cross-referencing market forecasts, sales statistics, and technical specifications from industry reports (e.g., Mordor Intelligence, IEA, S&amp;P Global), academic publications, technical white papers, and reputable automotive analysis firms.</w:t>
      </w:r>
    </w:p>
    <w:p>
      <w:pPr>
        <w:pStyle w:val="ListBullet"/>
      </w:pPr>
      <w:r>
        <w:rPr>
          <w:rFonts w:ascii="Times New Roman" w:hAnsi="Times New Roman"/>
          <w:sz w:val="20"/>
        </w:rPr>
        <w:t xml:space="preserve">  Comparative Analysis: Systematically comparing the performance, cost, environmental impact, and technological architectures of different powertrain types (ICE, HEV, PHEV, BEV, FCEV).</w:t>
      </w:r>
    </w:p>
    <w:p>
      <w:pPr>
        <w:pStyle w:val="ListBullet"/>
      </w:pPr>
      <w:r>
        <w:rPr>
          <w:rFonts w:ascii="Times New Roman" w:hAnsi="Times New Roman"/>
          <w:sz w:val="20"/>
        </w:rPr>
        <w:t xml:space="preserve">  Case Study Examination: In-depth profiling of seminal powertrain implementations (Toyota HSD, Mazda SkyActiv, Tesla) to extract best practices and strategic insights.</w:t>
      </w:r>
    </w:p>
    <w:p>
      <w:pPr>
        <w:pStyle w:val="ListBullet"/>
      </w:pPr>
      <w:r>
        <w:rPr>
          <w:rFonts w:ascii="Times New Roman" w:hAnsi="Times New Roman"/>
          <w:sz w:val="20"/>
        </w:rPr>
        <w:t xml:space="preserve">  Trend Synthesis: Identifying and analyzing macro-trends from disparate data points related to regulations, supply chains, consumer behavior, and technological roadmaps.</w:t>
      </w:r>
    </w:p>
    <w:p>
      <w:pPr>
        <w:jc w:val="both"/>
      </w:pPr>
      <w:r>
        <w:rPr>
          <w:rFonts w:ascii="Times New Roman" w:hAnsi="Times New Roman"/>
          <w:sz w:val="20"/>
        </w:rPr>
        <w:t>The findings are presented with a commitment to data-driven analysis, citing specific statistics and projections to substantiate conclusions.</w:t>
      </w:r>
    </w:p>
    <w:p>
      <w:pPr>
        <w:pStyle w:val="Heading3"/>
      </w:pPr>
      <w:r>
        <w:rPr>
          <w:rFonts w:ascii="Times New Roman" w:hAnsi="Times New Roman"/>
          <w:sz w:val="22"/>
        </w:rPr>
        <w:t>1.3 Scope and Limitations</w:t>
      </w:r>
    </w:p>
    <w:p>
      <w:pPr>
        <w:jc w:val="both"/>
      </w:pPr>
      <w:r>
        <w:rPr>
          <w:rFonts w:ascii="Times New Roman" w:hAnsi="Times New Roman"/>
          <w:sz w:val="20"/>
        </w:rPr>
        <w:t>Scope: This report focuses on light-duty passenger vehicle powertrains. It covers:</w:t>
      </w:r>
    </w:p>
    <w:p>
      <w:pPr>
        <w:pStyle w:val="ListBullet"/>
      </w:pPr>
      <w:r>
        <w:rPr>
          <w:rFonts w:ascii="Times New Roman" w:hAnsi="Times New Roman"/>
          <w:sz w:val="20"/>
        </w:rPr>
        <w:t xml:space="preserve">  Technological deep-dives into ICE, hybrid, and electric architectures.</w:t>
      </w:r>
    </w:p>
    <w:p>
      <w:pPr>
        <w:pStyle w:val="ListBullet"/>
      </w:pPr>
      <w:r>
        <w:rPr>
          <w:rFonts w:ascii="Times New Roman" w:hAnsi="Times New Roman"/>
          <w:sz w:val="20"/>
        </w:rPr>
        <w:t xml:space="preserve">  Global market analysis, including sales trends, regional variations, and competitive landscapes.</w:t>
      </w:r>
    </w:p>
    <w:p>
      <w:pPr>
        <w:pStyle w:val="ListBullet"/>
      </w:pPr>
      <w:r>
        <w:rPr>
          <w:rFonts w:ascii="Times New Roman" w:hAnsi="Times New Roman"/>
          <w:sz w:val="20"/>
        </w:rPr>
        <w:t xml:space="preserve">  The entire value chain, from raw material dependencies to final vehicle integration.</w:t>
      </w:r>
    </w:p>
    <w:p>
      <w:pPr>
        <w:pStyle w:val="ListBullet"/>
      </w:pPr>
      <w:r>
        <w:rPr>
          <w:rFonts w:ascii="Times New Roman" w:hAnsi="Times New Roman"/>
          <w:sz w:val="20"/>
        </w:rPr>
        <w:t xml:space="preserve">  The impact of global emissions regulations and sustainability mandates.</w:t>
      </w:r>
    </w:p>
    <w:p>
      <w:pPr>
        <w:pStyle w:val="ListBullet"/>
      </w:pPr>
      <w:r>
        <w:rPr>
          <w:rFonts w:ascii="Times New Roman" w:hAnsi="Times New Roman"/>
          <w:sz w:val="20"/>
        </w:rPr>
        <w:t xml:space="preserve">  Future outlooks for emerging technologies like solid-state batteries and hydrogen.</w:t>
      </w:r>
    </w:p>
    <w:p>
      <w:pPr>
        <w:jc w:val="both"/>
      </w:pPr>
      <w:r>
        <w:rPr>
          <w:rFonts w:ascii="Times New Roman" w:hAnsi="Times New Roman"/>
          <w:sz w:val="20"/>
        </w:rPr>
        <w:t>Limitations:</w:t>
      </w:r>
    </w:p>
    <w:p>
      <w:pPr>
        <w:pStyle w:val="ListBullet"/>
      </w:pPr>
      <w:r>
        <w:rPr>
          <w:rFonts w:ascii="Times New Roman" w:hAnsi="Times New Roman"/>
          <w:sz w:val="20"/>
        </w:rPr>
        <w:t xml:space="preserve">  The analysis primarily relies on published forecasts and data, which may be subject to revision based on unforeseen technological breakthroughs, geopolitical events, or policy shifts.</w:t>
      </w:r>
    </w:p>
    <w:p>
      <w:pPr>
        <w:pStyle w:val="ListBullet"/>
      </w:pPr>
      <w:r>
        <w:rPr>
          <w:rFonts w:ascii="Times New Roman" w:hAnsi="Times New Roman"/>
          <w:sz w:val="20"/>
        </w:rPr>
        <w:t xml:space="preserve">  Detailed financial analysis of individual companies is beyond the scope of this general industry report.</w:t>
      </w:r>
    </w:p>
    <w:p>
      <w:pPr>
        <w:pStyle w:val="ListBullet"/>
      </w:pPr>
      <w:r>
        <w:rPr>
          <w:rFonts w:ascii="Times New Roman" w:hAnsi="Times New Roman"/>
          <w:sz w:val="20"/>
        </w:rPr>
        <w:t xml:space="preserve">  While mentioned, a deep technical analysis of heavy-duty commercial vehicle powertrains is not the primary focus.</w:t>
      </w:r>
    </w:p>
    <w:p>
      <w:pPr>
        <w:pStyle w:val="ListBullet"/>
      </w:pPr>
      <w:r>
        <w:rPr>
          <w:rFonts w:ascii="Times New Roman" w:hAnsi="Times New Roman"/>
          <w:sz w:val="20"/>
        </w:rPr>
        <w:t xml:space="preserve">  The rapidly evolving nature of the sector means that some data, particularly for emerging technologies, may become dated quickly.</w:t>
      </w:r>
    </w:p>
    <w:p>
      <w:pPr>
        <w:pStyle w:val="Heading3"/>
      </w:pPr>
      <w:r>
        <w:rPr>
          <w:rFonts w:ascii="Times New Roman" w:hAnsi="Times New Roman"/>
          <w:sz w:val="22"/>
        </w:rPr>
        <w:t>1.4 Report Structure Overview</w:t>
      </w:r>
    </w:p>
    <w:p>
      <w:pPr>
        <w:jc w:val="both"/>
      </w:pPr>
      <w:r>
        <w:rPr>
          <w:rFonts w:ascii="Times New Roman" w:hAnsi="Times New Roman"/>
          <w:sz w:val="20"/>
        </w:rPr>
        <w:t>Following this introduction, the report is organized to guide the reader from foundational concepts to strategic implications. Chapter 2 establishes the historical and theoretical context. Chapter 3 provides a quantitative analysis of the current global market. Chapter 4 delves into the technical specifications of modern engine technologies. Chapter 5 presents real-world case studies of successful implementations. Chapter 6 offers a comparative analysis of different powertrain pathways. Chapter 7 details the major challenges and corresponding solutions facing the industry. Chapter 8 forecasts future trends and technologies. Finally, Chapter 9 consolidates the key findings and presents strategic recommendations.</w:t>
      </w:r>
    </w:p>
    <w:p>
      <w:pPr>
        <w:pStyle w:val="Heading2"/>
      </w:pPr>
      <w:r>
        <w:rPr>
          <w:rFonts w:ascii="Times New Roman" w:hAnsi="Times New Roman"/>
          <w:sz w:val="24"/>
        </w:rPr>
        <w:t>2. Literature Review / Background</w:t>
      </w:r>
    </w:p>
    <w:p>
      <w:pPr>
        <w:pStyle w:val="Heading3"/>
      </w:pPr>
      <w:r>
        <w:rPr>
          <w:rFonts w:ascii="Times New Roman" w:hAnsi="Times New Roman"/>
          <w:sz w:val="22"/>
        </w:rPr>
        <w:t>2.1 Historical Context and Evolution</w:t>
      </w:r>
    </w:p>
    <w:p>
      <w:pPr>
        <w:jc w:val="both"/>
      </w:pPr>
      <w:r>
        <w:rPr>
          <w:rFonts w:ascii="Times New Roman" w:hAnsi="Times New Roman"/>
          <w:sz w:val="20"/>
        </w:rPr>
        <w:t>The history of the automotive powertrain is a story of incremental refinement punctuated by revolutionary leaps. The prelude was the steam engine, pioneered by Thomas Savery (1698) and revolutionized by James Watt in the late 18th century. While steam powered early road locomotives, its weight, low efficiency (&lt;5%), and operational complexity limited its viability for personal transport.</w:t>
      </w:r>
    </w:p>
    <w:p>
      <w:pPr>
        <w:jc w:val="both"/>
      </w:pPr>
      <w:r>
        <w:rPr>
          <w:rFonts w:ascii="Times New Roman" w:hAnsi="Times New Roman"/>
          <w:sz w:val="20"/>
        </w:rPr>
        <w:t>The true automotive revolution began with the internal combustion engine (ICE). Étienne Lenoir built the first commercially practical ICE in 1859, but it was Nikolaus Otto’s four-stroke "Otto cycle" (1876) and Rudolf Diesel’s compression-ignition principle (1892) that provided the thermodynamic foundations. Karl Benz’s 1886 Patent-Motorwagen marked the seminal integration of an ICE into a dedicated automobile. The 20th century was defined by the ICE's mass production and refinement—from Henry Ford’s Model T to the high-performance V8s of the post-war era—cementing its global dominance.</w:t>
      </w:r>
    </w:p>
    <w:p>
      <w:pPr>
        <w:jc w:val="both"/>
      </w:pPr>
      <w:r>
        <w:rPr>
          <w:rFonts w:ascii="Times New Roman" w:hAnsi="Times New Roman"/>
          <w:sz w:val="20"/>
        </w:rPr>
        <w:t>The late 20th century introduced the electronic revolution. The oil crises of the 1970s and growing environmental awareness shifted priorities from power to efficiency and cleanliness. This necessitated a move from mechanical to digital control. The introduction of electronic fuel injection (EFI), onboard diagnostics (OBD), and sophisticated engine control units (ECUs) transformed the ICE into a computer-managed system. The catalytic converter (1975) became a ubiquitous tool for cleaning tailpipe emissions.</w:t>
      </w:r>
    </w:p>
    <w:p>
      <w:pPr>
        <w:jc w:val="both"/>
      </w:pPr>
      <w:r>
        <w:rPr>
          <w:rFonts w:ascii="Times New Roman" w:hAnsi="Times New Roman"/>
          <w:sz w:val="20"/>
        </w:rPr>
        <w:t>The 21st century is defined by electrification and diversification. Toyota’s launch of the Prius in 1997 commercialized the hybrid electric vehicle, blending ICE and electric power. The 2010s saw the resurgence of viable BEVs, led by Tesla, leveraging advances in lithium-ion batteries. Today, the industry navigates a multi-path future, simultaneously advancing ultra-efficient ICEs, expanding hybrid portfolios, scaling BEV production, and exploring hydrogen and synthetic fuels.</w:t>
      </w:r>
    </w:p>
    <w:p>
      <w:pPr>
        <w:pStyle w:val="Heading3"/>
      </w:pPr>
      <w:r>
        <w:rPr>
          <w:rFonts w:ascii="Times New Roman" w:hAnsi="Times New Roman"/>
          <w:sz w:val="22"/>
        </w:rPr>
        <w:t>2.2 Key Concepts and Definitions</w:t>
      </w:r>
    </w:p>
    <w:p>
      <w:pPr>
        <w:pStyle w:val="ListBullet"/>
      </w:pPr>
      <w:r>
        <w:rPr>
          <w:rFonts w:ascii="Times New Roman" w:hAnsi="Times New Roman"/>
          <w:sz w:val="20"/>
        </w:rPr>
        <w:t xml:space="preserve">  Internal Combustion Engine (ICE): A heat engine where fuel combustion occurs within a combustion chamber, creating high-pressure gas that directly applies force to moving components (pistons) to generate mechanical work.</w:t>
      </w:r>
    </w:p>
    <w:p>
      <w:pPr>
        <w:pStyle w:val="ListBullet"/>
      </w:pPr>
      <w:r>
        <w:rPr>
          <w:rFonts w:ascii="Times New Roman" w:hAnsi="Times New Roman"/>
          <w:sz w:val="20"/>
        </w:rPr>
        <w:t xml:space="preserve">  Spark Ignition (SI): Uses a spark plug to ignite a premixed air-fuel mixture (typical of gasoline engines).</w:t>
      </w:r>
    </w:p>
    <w:p>
      <w:pPr>
        <w:pStyle w:val="ListBullet"/>
      </w:pPr>
      <w:r>
        <w:rPr>
          <w:rFonts w:ascii="Times New Roman" w:hAnsi="Times New Roman"/>
          <w:sz w:val="20"/>
        </w:rPr>
        <w:t xml:space="preserve">  Compression Ignition (CI): Ignites fuel via the high temperature of air compressed in the cylinder (typical of diesel engines).</w:t>
      </w:r>
    </w:p>
    <w:p>
      <w:pPr>
        <w:pStyle w:val="ListBullet"/>
      </w:pPr>
      <w:r>
        <w:rPr>
          <w:rFonts w:ascii="Times New Roman" w:hAnsi="Times New Roman"/>
          <w:sz w:val="20"/>
        </w:rPr>
        <w:t xml:space="preserve">  Hybrid Electric Vehicle (HEV): A vehicle that combines an ICE with one or more electric motors and a battery, capable of operating on either or both power sources. It cannot be plugged in to recharge.</w:t>
      </w:r>
    </w:p>
    <w:p>
      <w:pPr>
        <w:pStyle w:val="ListBullet"/>
      </w:pPr>
      <w:r>
        <w:rPr>
          <w:rFonts w:ascii="Times New Roman" w:hAnsi="Times New Roman"/>
          <w:sz w:val="20"/>
        </w:rPr>
        <w:t xml:space="preserve">  Plug-in Hybrid Electric Vehicle (PHEV): A hybrid with a larger battery that can be charged from the grid, enabling significant all-electric range before the ICE engages.</w:t>
      </w:r>
    </w:p>
    <w:p>
      <w:pPr>
        <w:pStyle w:val="ListBullet"/>
      </w:pPr>
      <w:r>
        <w:rPr>
          <w:rFonts w:ascii="Times New Roman" w:hAnsi="Times New Roman"/>
          <w:sz w:val="20"/>
        </w:rPr>
        <w:t xml:space="preserve">  Battery Electric Vehicle (BEV): A vehicle propelled solely by one or more electric motors, powered by a rechargeable battery pack. It produces zero tailpipe emissions.</w:t>
      </w:r>
    </w:p>
    <w:p>
      <w:pPr>
        <w:pStyle w:val="ListBullet"/>
      </w:pPr>
      <w:r>
        <w:rPr>
          <w:rFonts w:ascii="Times New Roman" w:hAnsi="Times New Roman"/>
          <w:sz w:val="20"/>
        </w:rPr>
        <w:t xml:space="preserve">  Fuel Cell Electric Vehicle (FCEV): A vehicle that uses a fuel cell to generate electricity from hydrogen, powering an electric motor. Its only tailpipe emission is water vapor.</w:t>
      </w:r>
    </w:p>
    <w:p>
      <w:pPr>
        <w:pStyle w:val="ListBullet"/>
      </w:pPr>
      <w:r>
        <w:rPr>
          <w:rFonts w:ascii="Times New Roman" w:hAnsi="Times New Roman"/>
          <w:sz w:val="20"/>
        </w:rPr>
        <w:t xml:space="preserve">  Powertrain: The entire system that generates power and delivers it to the road surface, including the engine/motor, transmission, driveshafts, differentials, and final drive.</w:t>
      </w:r>
    </w:p>
    <w:p>
      <w:pPr>
        <w:pStyle w:val="ListBullet"/>
      </w:pPr>
      <w:r>
        <w:rPr>
          <w:rFonts w:ascii="Times New Roman" w:hAnsi="Times New Roman"/>
          <w:sz w:val="20"/>
        </w:rPr>
        <w:t xml:space="preserve">  Thermal Efficiency: The percentage of the energy contained in a fuel that is converted into useful mechanical work. Modern gasoline ICEs achieve ~35-40%, diesels ~40-45%, while electric motors exceed 90%.</w:t>
      </w:r>
    </w:p>
    <w:p>
      <w:pPr>
        <w:pStyle w:val="Heading3"/>
      </w:pPr>
      <w:r>
        <w:rPr>
          <w:rFonts w:ascii="Times New Roman" w:hAnsi="Times New Roman"/>
          <w:sz w:val="22"/>
        </w:rPr>
        <w:t>2.3 Theoretical Framework</w:t>
      </w:r>
    </w:p>
    <w:p>
      <w:pPr>
        <w:jc w:val="both"/>
      </w:pPr>
      <w:r>
        <w:rPr>
          <w:rFonts w:ascii="Times New Roman" w:hAnsi="Times New Roman"/>
          <w:sz w:val="20"/>
        </w:rPr>
        <w:t>The evolution of powertrains can be understood through the lens of technological disruption theory and path dependency. The ICE established a deeply entrenched regime—a complex system of technologies, industries, infrastructure (fuel stations), user practices, and regulations. BEVs represent a disruptive innovation, initially inferior in key metrics like range and cost but offering compelling new attributes (simplicity, instant torque, zero tailpipe emissions). Their adoption is accelerating as they cross thresholds of performance and cost parity, challenging the incumbent regime.</w:t>
      </w:r>
    </w:p>
    <w:p>
      <w:pPr>
        <w:jc w:val="both"/>
      </w:pPr>
      <w:r>
        <w:rPr>
          <w:rFonts w:ascii="Times New Roman" w:hAnsi="Times New Roman"/>
          <w:sz w:val="20"/>
        </w:rPr>
        <w:t>Simultaneously, socio-technical transition theory is relevant. The shift is not purely technological but involves co-evolution with policy (emissions standards, subsidies), markets (consumer acceptance, investor sentiment), and culture (changing perceptions of mobility). Hybrids act as a crucial "transition technology," maintaining compatibility with existing infrastructure and user habits while delivering incremental environmental benefits, thereby smoothing the pathway to deeper systemic change.</w:t>
      </w:r>
    </w:p>
    <w:p>
      <w:pPr>
        <w:pStyle w:val="Heading2"/>
      </w:pPr>
      <w:r>
        <w:rPr>
          <w:rFonts w:ascii="Times New Roman" w:hAnsi="Times New Roman"/>
          <w:sz w:val="24"/>
        </w:rPr>
        <w:t>3. Current State Analysis</w:t>
      </w:r>
    </w:p>
    <w:p>
      <w:pPr>
        <w:pStyle w:val="Heading3"/>
      </w:pPr>
      <w:r>
        <w:rPr>
          <w:rFonts w:ascii="Times New Roman" w:hAnsi="Times New Roman"/>
          <w:sz w:val="22"/>
        </w:rPr>
        <w:t>3.1 Market Overview and Trends</w:t>
      </w:r>
    </w:p>
    <w:p>
      <w:pPr>
        <w:jc w:val="both"/>
      </w:pPr>
      <w:r>
        <w:rPr>
          <w:rFonts w:ascii="Times New Roman" w:hAnsi="Times New Roman"/>
          <w:sz w:val="20"/>
        </w:rPr>
        <w:t>The global automotive powertrain market is a study in contrasts: robust in sheer size but undergoing profound internal reconfiguration. The overall market for engines and related systems is massive, with valuations ranging from USD 84.44 billion (2025) to USD 105.11 billion (2024), projected to grow at a compound annual growth rate (CAGR) of 2.34% to 3.8% over the next decade. This aggregate growth, however, masks a dramatic divergence in the fortunes of different technologies.</w:t>
      </w:r>
    </w:p>
    <w:p>
      <w:pPr>
        <w:jc w:val="both"/>
      </w:pPr>
      <w:r>
        <w:rPr>
          <w:rFonts w:ascii="Times New Roman" w:hAnsi="Times New Roman"/>
          <w:sz w:val="20"/>
        </w:rPr>
        <w:t>The defining trend is the rapid electrification of light-duty vehicles. The International Energy Agency (IEA) reports that global electric car sales soared past 17 million in 2024, meaning more than one in five new cars sold worldwide was electric. This represents a pivotal tipping point for the industry. The broader EV market is projected to explode from $892.63 billion in 2025 to $2,131.89 billion by 2032.</w:t>
      </w:r>
    </w:p>
    <w:p>
      <w:pPr>
        <w:jc w:val="both"/>
      </w:pPr>
      <w:r>
        <w:rPr>
          <w:rFonts w:ascii="Times New Roman" w:hAnsi="Times New Roman"/>
          <w:sz w:val="20"/>
        </w:rPr>
        <w:t>Conversely, the pure internal combustion engine (ICE) market is not collapsing but is transitioning to a slower-growth, niche-focused future. It is expected to grow from $210 billion in 2024 to $260 billion by 2034 (CAGR ~2.2%), driven by continued demand in emerging markets, commercial vehicles, and performance/luxury segments. Hybrids (HEVs/PHEVs) occupy the strategic middle ground, experiencing significant expansion as a pragmatic choice for consumers seeking efficiency without range anxiety, with their market poised for strong growth.</w:t>
      </w:r>
    </w:p>
    <w:p>
      <w:pPr>
        <w:jc w:val="center"/>
      </w:pPr>
      <w:r>
        <w:rPr>
          <w:b/>
          <w:sz w:val="18"/>
        </w:rPr>
        <w:t>Table 1. Research Data</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Source</w:t>
            </w:r>
          </w:p>
        </w:tc>
        <w:tc>
          <w:tcPr>
            <w:tcW w:type="dxa" w:w="1560"/>
          </w:tcPr>
          <w:p>
            <w:r>
              <w:rPr>
                <w:rFonts w:ascii="Times New Roman" w:hAnsi="Times New Roman"/>
                <w:b/>
                <w:sz w:val="18"/>
              </w:rPr>
              <w:t>Market Segment</w:t>
            </w:r>
          </w:p>
        </w:tc>
        <w:tc>
          <w:tcPr>
            <w:tcW w:type="dxa" w:w="1560"/>
          </w:tcPr>
          <w:p>
            <w:r>
              <w:rPr>
                <w:rFonts w:ascii="Times New Roman" w:hAnsi="Times New Roman"/>
                <w:b/>
                <w:sz w:val="18"/>
              </w:rPr>
              <w:t>2024/2025 Value</w:t>
            </w:r>
          </w:p>
        </w:tc>
        <w:tc>
          <w:tcPr>
            <w:tcW w:type="dxa" w:w="1560"/>
          </w:tcPr>
          <w:p>
            <w:r>
              <w:rPr>
                <w:rFonts w:ascii="Times New Roman" w:hAnsi="Times New Roman"/>
                <w:b/>
                <w:sz w:val="18"/>
              </w:rPr>
              <w:t>2030/2035 Projection</w:t>
            </w:r>
          </w:p>
        </w:tc>
        <w:tc>
          <w:tcPr>
            <w:tcW w:type="dxa" w:w="1560"/>
          </w:tcPr>
          <w:p>
            <w:r>
              <w:rPr>
                <w:rFonts w:ascii="Times New Roman" w:hAnsi="Times New Roman"/>
                <w:b/>
                <w:sz w:val="18"/>
              </w:rPr>
              <w:t>CAGR</w:t>
            </w:r>
          </w:p>
        </w:tc>
        <w:tc>
          <w:tcPr>
            <w:tcW w:type="dxa" w:w="1560"/>
          </w:tcPr>
          <w:p>
            <w:r>
              <w:rPr>
                <w:rFonts w:ascii="Times New Roman" w:hAnsi="Times New Roman"/>
                <w:b/>
                <w:sz w:val="18"/>
              </w:rPr>
              <w:t>Notes</w:t>
            </w:r>
          </w:p>
        </w:tc>
      </w:tr>
      <w:tr>
        <w:tc>
          <w:tcPr>
            <w:tcW w:type="dxa" w:w="1560"/>
          </w:tcPr>
          <w:p>
            <w:r>
              <w:rPr>
                <w:rFonts w:ascii="Times New Roman" w:hAnsi="Times New Roman"/>
                <w:sz w:val="18"/>
              </w:rPr>
              <w:t>Mordor Intelligence</w:t>
            </w:r>
          </w:p>
        </w:tc>
        <w:tc>
          <w:tcPr>
            <w:tcW w:type="dxa" w:w="1560"/>
          </w:tcPr>
          <w:p>
            <w:r>
              <w:rPr>
                <w:rFonts w:ascii="Times New Roman" w:hAnsi="Times New Roman"/>
                <w:sz w:val="18"/>
              </w:rPr>
              <w:t>Overall Engine Market</w:t>
            </w:r>
          </w:p>
        </w:tc>
        <w:tc>
          <w:tcPr>
            <w:tcW w:type="dxa" w:w="1560"/>
          </w:tcPr>
          <w:p>
            <w:r>
              <w:rPr>
                <w:rFonts w:ascii="Times New Roman" w:hAnsi="Times New Roman"/>
                <w:sz w:val="18"/>
              </w:rPr>
              <w:t>USD 84.44 Bn (2025)</w:t>
            </w:r>
          </w:p>
        </w:tc>
        <w:tc>
          <w:tcPr>
            <w:tcW w:type="dxa" w:w="1560"/>
          </w:tcPr>
          <w:p>
            <w:r>
              <w:rPr>
                <w:rFonts w:ascii="Times New Roman" w:hAnsi="Times New Roman"/>
                <w:sz w:val="18"/>
              </w:rPr>
              <w:t>USD 94.79 Bn (2030)</w:t>
            </w:r>
          </w:p>
        </w:tc>
        <w:tc>
          <w:tcPr>
            <w:tcW w:type="dxa" w:w="1560"/>
          </w:tcPr>
          <w:p>
            <w:r>
              <w:rPr>
                <w:rFonts w:ascii="Times New Roman" w:hAnsi="Times New Roman"/>
                <w:sz w:val="18"/>
              </w:rPr>
              <w:t>2.34%</w:t>
            </w:r>
          </w:p>
        </w:tc>
        <w:tc>
          <w:tcPr>
            <w:tcW w:type="dxa" w:w="1560"/>
          </w:tcPr>
          <w:p>
            <w:r>
              <w:rPr>
                <w:rFonts w:ascii="Times New Roman" w:hAnsi="Times New Roman"/>
                <w:sz w:val="18"/>
              </w:rPr>
              <w:t>Broad powertrain systems</w:t>
            </w:r>
          </w:p>
        </w:tc>
      </w:tr>
      <w:tr>
        <w:tc>
          <w:tcPr>
            <w:tcW w:type="dxa" w:w="1560"/>
          </w:tcPr>
          <w:p>
            <w:r>
              <w:rPr>
                <w:rFonts w:ascii="Times New Roman" w:hAnsi="Times New Roman"/>
                <w:sz w:val="18"/>
              </w:rPr>
              <w:t>IMARC Group</w:t>
            </w:r>
          </w:p>
        </w:tc>
        <w:tc>
          <w:tcPr>
            <w:tcW w:type="dxa" w:w="1560"/>
          </w:tcPr>
          <w:p>
            <w:r>
              <w:rPr>
                <w:rFonts w:ascii="Times New Roman" w:hAnsi="Times New Roman"/>
                <w:sz w:val="18"/>
              </w:rPr>
              <w:t>Overall Engine Market</w:t>
            </w:r>
          </w:p>
        </w:tc>
        <w:tc>
          <w:tcPr>
            <w:tcW w:type="dxa" w:w="1560"/>
          </w:tcPr>
          <w:p>
            <w:r>
              <w:rPr>
                <w:rFonts w:ascii="Times New Roman" w:hAnsi="Times New Roman"/>
                <w:sz w:val="18"/>
              </w:rPr>
              <w:t>USD 105.11 Bn (2024)</w:t>
            </w:r>
          </w:p>
        </w:tc>
        <w:tc>
          <w:tcPr>
            <w:tcW w:type="dxa" w:w="1560"/>
          </w:tcPr>
          <w:p>
            <w:r>
              <w:rPr>
                <w:rFonts w:ascii="Times New Roman" w:hAnsi="Times New Roman"/>
                <w:sz w:val="18"/>
              </w:rPr>
              <w:t>USD 152.21 Bn (2033)</w:t>
            </w:r>
          </w:p>
        </w:tc>
        <w:tc>
          <w:tcPr>
            <w:tcW w:type="dxa" w:w="1560"/>
          </w:tcPr>
          <w:p>
            <w:r>
              <w:rPr>
                <w:rFonts w:ascii="Times New Roman" w:hAnsi="Times New Roman"/>
                <w:sz w:val="18"/>
              </w:rPr>
              <w:t>3.8%</w:t>
            </w:r>
          </w:p>
        </w:tc>
        <w:tc>
          <w:tcPr>
            <w:tcW w:type="dxa" w:w="1560"/>
          </w:tcPr>
          <w:p>
            <w:r>
              <w:rPr>
                <w:rFonts w:ascii="Times New Roman" w:hAnsi="Times New Roman"/>
                <w:sz w:val="18"/>
              </w:rPr>
            </w:r>
          </w:p>
        </w:tc>
      </w:tr>
      <w:tr>
        <w:tc>
          <w:tcPr>
            <w:tcW w:type="dxa" w:w="1560"/>
          </w:tcPr>
          <w:p>
            <w:r>
              <w:rPr>
                <w:rFonts w:ascii="Times New Roman" w:hAnsi="Times New Roman"/>
                <w:sz w:val="18"/>
              </w:rPr>
              <w:t>Global Insight Services</w:t>
            </w:r>
          </w:p>
        </w:tc>
        <w:tc>
          <w:tcPr>
            <w:tcW w:type="dxa" w:w="1560"/>
          </w:tcPr>
          <w:p>
            <w:r>
              <w:rPr>
                <w:rFonts w:ascii="Times New Roman" w:hAnsi="Times New Roman"/>
                <w:sz w:val="18"/>
              </w:rPr>
              <w:t>ICE Market</w:t>
            </w:r>
          </w:p>
        </w:tc>
        <w:tc>
          <w:tcPr>
            <w:tcW w:type="dxa" w:w="1560"/>
          </w:tcPr>
          <w:p>
            <w:r>
              <w:rPr>
                <w:rFonts w:ascii="Times New Roman" w:hAnsi="Times New Roman"/>
                <w:sz w:val="18"/>
              </w:rPr>
              <w:t>$210 Bn (2024)</w:t>
            </w:r>
          </w:p>
        </w:tc>
        <w:tc>
          <w:tcPr>
            <w:tcW w:type="dxa" w:w="1560"/>
          </w:tcPr>
          <w:p>
            <w:r>
              <w:rPr>
                <w:rFonts w:ascii="Times New Roman" w:hAnsi="Times New Roman"/>
                <w:sz w:val="18"/>
              </w:rPr>
              <w:t>$260 Bn (2034)</w:t>
            </w:r>
          </w:p>
        </w:tc>
        <w:tc>
          <w:tcPr>
            <w:tcW w:type="dxa" w:w="1560"/>
          </w:tcPr>
          <w:p>
            <w:r>
              <w:rPr>
                <w:rFonts w:ascii="Times New Roman" w:hAnsi="Times New Roman"/>
                <w:sz w:val="18"/>
              </w:rPr>
              <w:t>~2.2%</w:t>
            </w:r>
          </w:p>
        </w:tc>
        <w:tc>
          <w:tcPr>
            <w:tcW w:type="dxa" w:w="1560"/>
          </w:tcPr>
          <w:p>
            <w:r>
              <w:rPr>
                <w:rFonts w:ascii="Times New Roman" w:hAnsi="Times New Roman"/>
                <w:sz w:val="18"/>
              </w:rPr>
              <w:t>Includes commercial vehicles</w:t>
            </w:r>
          </w:p>
        </w:tc>
      </w:tr>
      <w:tr>
        <w:tc>
          <w:tcPr>
            <w:tcW w:type="dxa" w:w="1560"/>
          </w:tcPr>
          <w:p>
            <w:r>
              <w:rPr>
                <w:rFonts w:ascii="Times New Roman" w:hAnsi="Times New Roman"/>
                <w:sz w:val="18"/>
              </w:rPr>
              <w:t>IEA</w:t>
            </w:r>
          </w:p>
        </w:tc>
        <w:tc>
          <w:tcPr>
            <w:tcW w:type="dxa" w:w="1560"/>
          </w:tcPr>
          <w:p>
            <w:r>
              <w:rPr>
                <w:rFonts w:ascii="Times New Roman" w:hAnsi="Times New Roman"/>
                <w:sz w:val="18"/>
              </w:rPr>
              <w:t>BEV Sales (Units)</w:t>
            </w:r>
          </w:p>
        </w:tc>
        <w:tc>
          <w:tcPr>
            <w:tcW w:type="dxa" w:w="1560"/>
          </w:tcPr>
          <w:p>
            <w:r>
              <w:rPr>
                <w:rFonts w:ascii="Times New Roman" w:hAnsi="Times New Roman"/>
                <w:sz w:val="18"/>
              </w:rPr>
              <w:t>&gt;17 Million (2024)</w:t>
            </w:r>
          </w:p>
        </w:tc>
        <w:tc>
          <w:tcPr>
            <w:tcW w:type="dxa" w:w="1560"/>
          </w:tcPr>
          <w:p>
            <w:r>
              <w:rPr>
                <w:rFonts w:ascii="Times New Roman" w:hAnsi="Times New Roman"/>
                <w:sz w:val="18"/>
              </w:rPr>
              <w:t>N/A</w:t>
            </w:r>
          </w:p>
        </w:tc>
        <w:tc>
          <w:tcPr>
            <w:tcW w:type="dxa" w:w="1560"/>
          </w:tcPr>
          <w:p>
            <w:r>
              <w:rPr>
                <w:rFonts w:ascii="Times New Roman" w:hAnsi="Times New Roman"/>
                <w:sz w:val="18"/>
              </w:rPr>
              <w:t>N/A</w:t>
            </w:r>
          </w:p>
        </w:tc>
        <w:tc>
          <w:tcPr>
            <w:tcW w:type="dxa" w:w="1560"/>
          </w:tcPr>
          <w:p>
            <w:r>
              <w:rPr>
                <w:rFonts w:ascii="Times New Roman" w:hAnsi="Times New Roman"/>
                <w:sz w:val="18"/>
              </w:rPr>
              <w:t>&gt;20% global market share</w:t>
            </w:r>
          </w:p>
        </w:tc>
      </w:tr>
      <w:tr>
        <w:tc>
          <w:tcPr>
            <w:tcW w:type="dxa" w:w="1560"/>
          </w:tcPr>
          <w:p>
            <w:r>
              <w:rPr>
                <w:rFonts w:ascii="Times New Roman" w:hAnsi="Times New Roman"/>
                <w:sz w:val="18"/>
              </w:rPr>
              <w:t>Fortune Business Insights</w:t>
            </w:r>
          </w:p>
        </w:tc>
        <w:tc>
          <w:tcPr>
            <w:tcW w:type="dxa" w:w="1560"/>
          </w:tcPr>
          <w:p>
            <w:r>
              <w:rPr>
                <w:rFonts w:ascii="Times New Roman" w:hAnsi="Times New Roman"/>
                <w:sz w:val="18"/>
              </w:rPr>
              <w:t>Total EV Market</w:t>
            </w:r>
          </w:p>
        </w:tc>
        <w:tc>
          <w:tcPr>
            <w:tcW w:type="dxa" w:w="1560"/>
          </w:tcPr>
          <w:p>
            <w:r>
              <w:rPr>
                <w:rFonts w:ascii="Times New Roman" w:hAnsi="Times New Roman"/>
                <w:sz w:val="18"/>
              </w:rPr>
              <w:t>$892.63 Bn (2025)</w:t>
            </w:r>
          </w:p>
        </w:tc>
        <w:tc>
          <w:tcPr>
            <w:tcW w:type="dxa" w:w="1560"/>
          </w:tcPr>
          <w:p>
            <w:r>
              <w:rPr>
                <w:rFonts w:ascii="Times New Roman" w:hAnsi="Times New Roman"/>
                <w:sz w:val="18"/>
              </w:rPr>
              <w:t>$2,131.89 Bn (2032)</w:t>
            </w:r>
          </w:p>
        </w:tc>
        <w:tc>
          <w:tcPr>
            <w:tcW w:type="dxa" w:w="1560"/>
          </w:tcPr>
          <w:p>
            <w:r>
              <w:rPr>
                <w:rFonts w:ascii="Times New Roman" w:hAnsi="Times New Roman"/>
                <w:sz w:val="18"/>
              </w:rPr>
              <w:t>High</w:t>
            </w:r>
          </w:p>
        </w:tc>
        <w:tc>
          <w:tcPr>
            <w:tcW w:type="dxa" w:w="1560"/>
          </w:tcPr>
          <w:p>
            <w:r>
              <w:rPr>
                <w:rFonts w:ascii="Times New Roman" w:hAnsi="Times New Roman"/>
                <w:sz w:val="18"/>
              </w:rPr>
              <w:t>Includes vehicles &amp; infrastructure</w:t>
            </w:r>
          </w:p>
        </w:tc>
      </w:tr>
    </w:tbl>
    <w:p/>
    <w:p>
      <w:pPr>
        <w:pStyle w:val="Heading3"/>
      </w:pPr>
      <w:r>
        <w:rPr>
          <w:rFonts w:ascii="Times New Roman" w:hAnsi="Times New Roman"/>
          <w:sz w:val="22"/>
        </w:rPr>
        <w:t>3.2 Key Statistics and Data</w:t>
      </w:r>
    </w:p>
    <w:p>
      <w:pPr>
        <w:jc w:val="both"/>
      </w:pPr>
      <w:r>
        <w:rPr>
          <w:rFonts w:ascii="Times New Roman" w:hAnsi="Times New Roman"/>
          <w:sz w:val="20"/>
        </w:rPr>
        <w:t>Regional adoption rates vary dramatically, creating a "multi-speed" transition. China, Europe, and North America lead in EV adoption, collectively accounting for the vast majority of global sales. China, as the world's largest auto market, is also the largest EV market, driven by aggressive government policy. Europe follows closely, with several countries achieving over 30% EV share in new sales. North America, led by the U.S., is growing rapidly but from a lower base.</w:t>
      </w:r>
    </w:p>
    <w:p>
      <w:pPr>
        <w:jc w:val="both"/>
      </w:pPr>
      <w:r>
        <w:rPr>
          <w:rFonts w:ascii="Times New Roman" w:hAnsi="Times New Roman"/>
          <w:sz w:val="20"/>
        </w:rPr>
        <w:t>Emerging economies in Asia-Pacific, Latin America, and Africa currently exhibit stronger growth in overall vehicle sales, which still heavily favor ICEs due to lower purchase prices and underdeveloped charging infrastructure. Hybrids are often seen as a more accessible first step toward electrification in these regions.</w:t>
      </w:r>
    </w:p>
    <w:p>
      <w:pPr>
        <w:jc w:val="center"/>
      </w:pPr>
      <w:r>
        <w:rPr>
          <w:b/>
          <w:sz w:val="18"/>
        </w:rPr>
        <w:t>Table 2. Research Data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Region</w:t>
            </w:r>
          </w:p>
        </w:tc>
        <w:tc>
          <w:tcPr>
            <w:tcW w:type="dxa" w:w="1872"/>
          </w:tcPr>
          <w:p>
            <w:r>
              <w:rPr>
                <w:rFonts w:ascii="Times New Roman" w:hAnsi="Times New Roman"/>
                <w:b/>
                <w:sz w:val="18"/>
              </w:rPr>
              <w:t>Dominant Powertrain</w:t>
            </w:r>
          </w:p>
        </w:tc>
        <w:tc>
          <w:tcPr>
            <w:tcW w:type="dxa" w:w="1872"/>
          </w:tcPr>
          <w:p>
            <w:r>
              <w:rPr>
                <w:rFonts w:ascii="Times New Roman" w:hAnsi="Times New Roman"/>
                <w:b/>
                <w:sz w:val="18"/>
              </w:rPr>
              <w:t>Key Driver</w:t>
            </w:r>
          </w:p>
        </w:tc>
        <w:tc>
          <w:tcPr>
            <w:tcW w:type="dxa" w:w="1872"/>
          </w:tcPr>
          <w:p>
            <w:r>
              <w:rPr>
                <w:rFonts w:ascii="Times New Roman" w:hAnsi="Times New Roman"/>
                <w:b/>
                <w:sz w:val="18"/>
              </w:rPr>
              <w:t>EV Market Share (2024 Est.)</w:t>
            </w:r>
          </w:p>
        </w:tc>
        <w:tc>
          <w:tcPr>
            <w:tcW w:type="dxa" w:w="1872"/>
          </w:tcPr>
          <w:p>
            <w:r>
              <w:rPr>
                <w:rFonts w:ascii="Times New Roman" w:hAnsi="Times New Roman"/>
                <w:b/>
                <w:sz w:val="18"/>
              </w:rPr>
              <w:t>Notable Trend</w:t>
            </w:r>
          </w:p>
        </w:tc>
      </w:tr>
      <w:tr>
        <w:tc>
          <w:tcPr>
            <w:tcW w:type="dxa" w:w="1872"/>
          </w:tcPr>
          <w:p>
            <w:r>
              <w:rPr>
                <w:rFonts w:ascii="Times New Roman" w:hAnsi="Times New Roman"/>
                <w:sz w:val="18"/>
              </w:rPr>
              <w:t>China</w:t>
            </w:r>
          </w:p>
        </w:tc>
        <w:tc>
          <w:tcPr>
            <w:tcW w:type="dxa" w:w="1872"/>
          </w:tcPr>
          <w:p>
            <w:r>
              <w:rPr>
                <w:rFonts w:ascii="Times New Roman" w:hAnsi="Times New Roman"/>
                <w:sz w:val="18"/>
              </w:rPr>
              <w:t>BEV / PHEV</w:t>
            </w:r>
          </w:p>
        </w:tc>
        <w:tc>
          <w:tcPr>
            <w:tcW w:type="dxa" w:w="1872"/>
          </w:tcPr>
          <w:p>
            <w:r>
              <w:rPr>
                <w:rFonts w:ascii="Times New Roman" w:hAnsi="Times New Roman"/>
                <w:sz w:val="18"/>
              </w:rPr>
              <w:t>Government Mandates (NEV), Consumer Tech Adoption</w:t>
            </w:r>
          </w:p>
        </w:tc>
        <w:tc>
          <w:tcPr>
            <w:tcW w:type="dxa" w:w="1872"/>
          </w:tcPr>
          <w:p>
            <w:r>
              <w:rPr>
                <w:rFonts w:ascii="Times New Roman" w:hAnsi="Times New Roman"/>
                <w:sz w:val="18"/>
              </w:rPr>
              <w:t>~35%</w:t>
            </w:r>
          </w:p>
        </w:tc>
        <w:tc>
          <w:tcPr>
            <w:tcW w:type="dxa" w:w="1872"/>
          </w:tcPr>
          <w:p>
            <w:r>
              <w:rPr>
                <w:rFonts w:ascii="Times New Roman" w:hAnsi="Times New Roman"/>
                <w:sz w:val="18"/>
              </w:rPr>
              <w:t>World's largest EV market, rapid infrastructure build-out.</w:t>
            </w:r>
          </w:p>
        </w:tc>
      </w:tr>
      <w:tr>
        <w:tc>
          <w:tcPr>
            <w:tcW w:type="dxa" w:w="1872"/>
          </w:tcPr>
          <w:p>
            <w:r>
              <w:rPr>
                <w:rFonts w:ascii="Times New Roman" w:hAnsi="Times New Roman"/>
                <w:sz w:val="18"/>
              </w:rPr>
              <w:t>Western Europe</w:t>
            </w:r>
          </w:p>
        </w:tc>
        <w:tc>
          <w:tcPr>
            <w:tcW w:type="dxa" w:w="1872"/>
          </w:tcPr>
          <w:p>
            <w:r>
              <w:rPr>
                <w:rFonts w:ascii="Times New Roman" w:hAnsi="Times New Roman"/>
                <w:sz w:val="18"/>
              </w:rPr>
              <w:t>BEV / HEV</w:t>
            </w:r>
          </w:p>
        </w:tc>
        <w:tc>
          <w:tcPr>
            <w:tcW w:type="dxa" w:w="1872"/>
          </w:tcPr>
          <w:p>
            <w:r>
              <w:rPr>
                <w:rFonts w:ascii="Times New Roman" w:hAnsi="Times New Roman"/>
                <w:sz w:val="18"/>
              </w:rPr>
              <w:t>Stringent CO2 Regulations, High Fuel Taxes</w:t>
            </w:r>
          </w:p>
        </w:tc>
        <w:tc>
          <w:tcPr>
            <w:tcW w:type="dxa" w:w="1872"/>
          </w:tcPr>
          <w:p>
            <w:r>
              <w:rPr>
                <w:rFonts w:ascii="Times New Roman" w:hAnsi="Times New Roman"/>
                <w:sz w:val="18"/>
              </w:rPr>
              <w:t>~25-30%</w:t>
            </w:r>
          </w:p>
        </w:tc>
        <w:tc>
          <w:tcPr>
            <w:tcW w:type="dxa" w:w="1872"/>
          </w:tcPr>
          <w:p>
            <w:r>
              <w:rPr>
                <w:rFonts w:ascii="Times New Roman" w:hAnsi="Times New Roman"/>
                <w:sz w:val="18"/>
              </w:rPr>
              <w:t>Strong hybrid tradition; BEV share growing fastest in Nordic countries.</w:t>
            </w:r>
          </w:p>
        </w:tc>
      </w:tr>
      <w:tr>
        <w:tc>
          <w:tcPr>
            <w:tcW w:type="dxa" w:w="1872"/>
          </w:tcPr>
          <w:p>
            <w:r>
              <w:rPr>
                <w:rFonts w:ascii="Times New Roman" w:hAnsi="Times New Roman"/>
                <w:sz w:val="18"/>
              </w:rPr>
              <w:t>United States</w:t>
            </w:r>
          </w:p>
        </w:tc>
        <w:tc>
          <w:tcPr>
            <w:tcW w:type="dxa" w:w="1872"/>
          </w:tcPr>
          <w:p>
            <w:r>
              <w:rPr>
                <w:rFonts w:ascii="Times New Roman" w:hAnsi="Times New Roman"/>
                <w:sz w:val="18"/>
              </w:rPr>
              <w:t>ICE / BEV / PHEV</w:t>
            </w:r>
          </w:p>
        </w:tc>
        <w:tc>
          <w:tcPr>
            <w:tcW w:type="dxa" w:w="1872"/>
          </w:tcPr>
          <w:p>
            <w:r>
              <w:rPr>
                <w:rFonts w:ascii="Times New Roman" w:hAnsi="Times New Roman"/>
                <w:sz w:val="18"/>
              </w:rPr>
              <w:t>Consumer Choice, Federal/State Incentives</w:t>
            </w:r>
          </w:p>
        </w:tc>
        <w:tc>
          <w:tcPr>
            <w:tcW w:type="dxa" w:w="1872"/>
          </w:tcPr>
          <w:p>
            <w:r>
              <w:rPr>
                <w:rFonts w:ascii="Times New Roman" w:hAnsi="Times New Roman"/>
                <w:sz w:val="18"/>
              </w:rPr>
              <w:t>~10-12%</w:t>
            </w:r>
          </w:p>
        </w:tc>
        <w:tc>
          <w:tcPr>
            <w:tcW w:type="dxa" w:w="1872"/>
          </w:tcPr>
          <w:p>
            <w:r>
              <w:rPr>
                <w:rFonts w:ascii="Times New Roman" w:hAnsi="Times New Roman"/>
                <w:sz w:val="18"/>
              </w:rPr>
              <w:t>Pickup trucks &amp; SUVs electrifying; Tesla dominance.</w:t>
            </w:r>
          </w:p>
        </w:tc>
      </w:tr>
      <w:tr>
        <w:tc>
          <w:tcPr>
            <w:tcW w:type="dxa" w:w="1872"/>
          </w:tcPr>
          <w:p>
            <w:r>
              <w:rPr>
                <w:rFonts w:ascii="Times New Roman" w:hAnsi="Times New Roman"/>
                <w:sz w:val="18"/>
              </w:rPr>
              <w:t>Japan</w:t>
            </w:r>
          </w:p>
        </w:tc>
        <w:tc>
          <w:tcPr>
            <w:tcW w:type="dxa" w:w="1872"/>
          </w:tcPr>
          <w:p>
            <w:r>
              <w:rPr>
                <w:rFonts w:ascii="Times New Roman" w:hAnsi="Times New Roman"/>
                <w:sz w:val="18"/>
              </w:rPr>
              <w:t>HEV</w:t>
            </w:r>
          </w:p>
        </w:tc>
        <w:tc>
          <w:tcPr>
            <w:tcW w:type="dxa" w:w="1872"/>
          </w:tcPr>
          <w:p>
            <w:r>
              <w:rPr>
                <w:rFonts w:ascii="Times New Roman" w:hAnsi="Times New Roman"/>
                <w:sz w:val="18"/>
              </w:rPr>
              <w:t>Toyota's Hybrid Leadership, Consumer Preference</w:t>
            </w:r>
          </w:p>
        </w:tc>
        <w:tc>
          <w:tcPr>
            <w:tcW w:type="dxa" w:w="1872"/>
          </w:tcPr>
          <w:p>
            <w:r>
              <w:rPr>
                <w:rFonts w:ascii="Times New Roman" w:hAnsi="Times New Roman"/>
                <w:sz w:val="18"/>
              </w:rPr>
              <w:t>~40% (HEV)</w:t>
            </w:r>
          </w:p>
        </w:tc>
        <w:tc>
          <w:tcPr>
            <w:tcW w:type="dxa" w:w="1872"/>
          </w:tcPr>
          <w:p>
            <w:r>
              <w:rPr>
                <w:rFonts w:ascii="Times New Roman" w:hAnsi="Times New Roman"/>
                <w:sz w:val="18"/>
              </w:rPr>
              <w:t>BEV adoption slower; hybrids are the de facto "green" choice.</w:t>
            </w:r>
          </w:p>
        </w:tc>
      </w:tr>
      <w:tr>
        <w:tc>
          <w:tcPr>
            <w:tcW w:type="dxa" w:w="1872"/>
          </w:tcPr>
          <w:p>
            <w:r>
              <w:rPr>
                <w:rFonts w:ascii="Times New Roman" w:hAnsi="Times New Roman"/>
                <w:sz w:val="18"/>
              </w:rPr>
              <w:t>India / SE Asia</w:t>
            </w:r>
          </w:p>
        </w:tc>
        <w:tc>
          <w:tcPr>
            <w:tcW w:type="dxa" w:w="1872"/>
          </w:tcPr>
          <w:p>
            <w:r>
              <w:rPr>
                <w:rFonts w:ascii="Times New Roman" w:hAnsi="Times New Roman"/>
                <w:sz w:val="18"/>
              </w:rPr>
              <w:t>ICE / CNG</w:t>
            </w:r>
          </w:p>
        </w:tc>
        <w:tc>
          <w:tcPr>
            <w:tcW w:type="dxa" w:w="1872"/>
          </w:tcPr>
          <w:p>
            <w:r>
              <w:rPr>
                <w:rFonts w:ascii="Times New Roman" w:hAnsi="Times New Roman"/>
                <w:sz w:val="18"/>
              </w:rPr>
              <w:t>Price Sensitivity, Developing Infrastructure</w:t>
            </w:r>
          </w:p>
        </w:tc>
        <w:tc>
          <w:tcPr>
            <w:tcW w:type="dxa" w:w="1872"/>
          </w:tcPr>
          <w:p>
            <w:r>
              <w:rPr>
                <w:rFonts w:ascii="Times New Roman" w:hAnsi="Times New Roman"/>
                <w:sz w:val="18"/>
              </w:rPr>
              <w:t>&lt;5%</w:t>
            </w:r>
          </w:p>
        </w:tc>
        <w:tc>
          <w:tcPr>
            <w:tcW w:type="dxa" w:w="1872"/>
          </w:tcPr>
          <w:p>
            <w:r>
              <w:rPr>
                <w:rFonts w:ascii="Times New Roman" w:hAnsi="Times New Roman"/>
                <w:sz w:val="18"/>
              </w:rPr>
              <w:t>Strong growth in overall auto sales; hybrids gaining initial traction.</w:t>
            </w:r>
          </w:p>
        </w:tc>
      </w:tr>
    </w:tbl>
    <w:p/>
    <w:p>
      <w:pPr>
        <w:pStyle w:val="Heading3"/>
      </w:pPr>
      <w:r>
        <w:rPr>
          <w:rFonts w:ascii="Times New Roman" w:hAnsi="Times New Roman"/>
          <w:sz w:val="22"/>
        </w:rPr>
        <w:t>3.3 Major Players and Stakeholders</w:t>
      </w:r>
    </w:p>
    <w:p>
      <w:pPr>
        <w:jc w:val="both"/>
      </w:pPr>
      <w:r>
        <w:rPr>
          <w:rFonts w:ascii="Times New Roman" w:hAnsi="Times New Roman"/>
          <w:sz w:val="20"/>
        </w:rPr>
        <w:t>The competitive landscape is dominated by large, integrated automakers navigating the transition, supported by a ecosystem of powerful suppliers.</w:t>
      </w:r>
    </w:p>
    <w:p>
      <w:pPr>
        <w:jc w:val="both"/>
      </w:pPr>
      <w:r>
        <w:rPr>
          <w:rFonts w:ascii="Times New Roman" w:hAnsi="Times New Roman"/>
          <w:sz w:val="20"/>
        </w:rPr>
        <w:t>Leading OEMs:</w:t>
      </w:r>
    </w:p>
    <w:p>
      <w:pPr>
        <w:pStyle w:val="ListBullet"/>
      </w:pPr>
      <w:r>
        <w:rPr>
          <w:rFonts w:ascii="Times New Roman" w:hAnsi="Times New Roman"/>
          <w:sz w:val="20"/>
        </w:rPr>
        <w:t xml:space="preserve">  Toyota Motor Corporation: The undisputed hybrid leader, with over 20 million hybrids sold globally. It is pursuing a multi-path strategy that includes hybrids, BEVs, and hydrogen fuel cells.</w:t>
      </w:r>
    </w:p>
    <w:p>
      <w:pPr>
        <w:pStyle w:val="ListBullet"/>
      </w:pPr>
      <w:r>
        <w:rPr>
          <w:rFonts w:ascii="Times New Roman" w:hAnsi="Times New Roman"/>
          <w:sz w:val="20"/>
        </w:rPr>
        <w:t xml:space="preserve">  Volkswagen AG: A traditional ICE powerhouse aggressively investing in its dedicated MEB and SSP EV platforms, aiming for 50% BEV sales by 2030.</w:t>
      </w:r>
    </w:p>
    <w:p>
      <w:pPr>
        <w:pStyle w:val="ListBullet"/>
      </w:pPr>
      <w:r>
        <w:rPr>
          <w:rFonts w:ascii="Times New Roman" w:hAnsi="Times New Roman"/>
          <w:sz w:val="20"/>
        </w:rPr>
        <w:t xml:space="preserve">  General Motors &amp; Ford: U.S. giants with deep ICE heritage, now committing tens of billions to electrify their lineups (Ultium, Ford Model e).</w:t>
      </w:r>
    </w:p>
    <w:p>
      <w:pPr>
        <w:pStyle w:val="ListBullet"/>
      </w:pPr>
      <w:r>
        <w:rPr>
          <w:rFonts w:ascii="Times New Roman" w:hAnsi="Times New Roman"/>
          <w:sz w:val="20"/>
        </w:rPr>
        <w:t xml:space="preserve">  Hyundai Motor Group: A rising force, renowned for efficient ICEs and now a leader in dedicated EV platforms (E-GMP) and hydrogen fuel cells (Nexo).</w:t>
      </w:r>
    </w:p>
    <w:p>
      <w:pPr>
        <w:pStyle w:val="ListBullet"/>
      </w:pPr>
      <w:r>
        <w:rPr>
          <w:rFonts w:ascii="Times New Roman" w:hAnsi="Times New Roman"/>
          <w:sz w:val="20"/>
        </w:rPr>
        <w:t xml:space="preserve">  Stellantis N.V.: Formed from mergers, it boasts a vast portfolio of ICEs and is launching four dedicated EV platforms (STLA) across its brands.</w:t>
      </w:r>
    </w:p>
    <w:p>
      <w:pPr>
        <w:pStyle w:val="ListBullet"/>
      </w:pPr>
      <w:r>
        <w:rPr>
          <w:rFonts w:ascii="Times New Roman" w:hAnsi="Times New Roman"/>
          <w:sz w:val="20"/>
        </w:rPr>
        <w:t xml:space="preserve">  Tesla, Inc.: The pure-play EV disruptor, whose success in proving the viability of compelling, long-range BEVs catalyzed the entire industry's shift.</w:t>
      </w:r>
    </w:p>
    <w:p>
      <w:pPr>
        <w:jc w:val="both"/>
      </w:pPr>
      <w:r>
        <w:rPr>
          <w:rFonts w:ascii="Times New Roman" w:hAnsi="Times New Roman"/>
          <w:sz w:val="20"/>
        </w:rPr>
        <w:t>Key Suppliers:</w:t>
      </w:r>
    </w:p>
    <w:p>
      <w:pPr>
        <w:pStyle w:val="ListBullet"/>
      </w:pPr>
      <w:r>
        <w:rPr>
          <w:rFonts w:ascii="Times New Roman" w:hAnsi="Times New Roman"/>
          <w:sz w:val="20"/>
        </w:rPr>
        <w:t xml:space="preserve">  Robert Bosch GmbH &amp; Denso Corporation: Tier 1 giants supplying critical components for both ICE (fuel injection, ECUs) and electrified powertrains (power electronics, thermal management).</w:t>
      </w:r>
    </w:p>
    <w:p>
      <w:pPr>
        <w:pStyle w:val="ListBullet"/>
      </w:pPr>
      <w:r>
        <w:rPr>
          <w:rFonts w:ascii="Times New Roman" w:hAnsi="Times New Roman"/>
          <w:sz w:val="20"/>
        </w:rPr>
        <w:t xml:space="preserve">  Cummins Inc.: The world's leading independent diesel engine manufacturer, now expanding into natural gas, hybrid, and hydrogen powertrains for commercial vehicles.</w:t>
      </w:r>
    </w:p>
    <w:p>
      <w:pPr>
        <w:pStyle w:val="ListBullet"/>
      </w:pPr>
      <w:r>
        <w:rPr>
          <w:rFonts w:ascii="Times New Roman" w:hAnsi="Times New Roman"/>
          <w:sz w:val="20"/>
        </w:rPr>
        <w:t xml:space="preserve">  Contemporary Amperex Technology Co. Limited (CATL) &amp; LG Energy Solution: Leading battery cell manufacturers, whose scale and technology roadmaps are critical to BEV cost and performance.</w:t>
      </w:r>
    </w:p>
    <w:p>
      <w:pPr>
        <w:pStyle w:val="Heading2"/>
      </w:pPr>
      <w:r>
        <w:rPr>
          <w:rFonts w:ascii="Times New Roman" w:hAnsi="Times New Roman"/>
          <w:sz w:val="24"/>
        </w:rPr>
        <w:t>4. Technical Analysis</w:t>
      </w:r>
    </w:p>
    <w:p/>
    <w:p>
      <w:pPr>
        <w:jc w:val="center"/>
      </w:pPr>
      <w:r>
        <w:rPr>
          <w:i/>
          <w:sz w:val="18"/>
        </w:rPr>
        <w:t>This report was generated by Requirements Analysis Agent Assistant (RAAA)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