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34B2C">
      <w:pPr>
        <w:jc w:val="center"/>
      </w:pPr>
      <w:r>
        <w:rPr>
          <w:rFonts w:ascii="Times New Roman" w:hAnsi="Times New Roman"/>
          <w:b/>
          <w:sz w:val="32"/>
        </w:rPr>
        <w:t>Research Report: 请你帮我做一个AI+金融领域的研究</w:t>
      </w:r>
    </w:p>
    <w:p w14:paraId="624852EF">
      <w:pPr>
        <w:jc w:val="center"/>
      </w:pPr>
      <w:r>
        <w:rPr>
          <w:rFonts w:ascii="Times New Roman" w:hAnsi="Times New Roman"/>
          <w:sz w:val="22"/>
        </w:rPr>
        <w:t>Generated by RAAA Deep Research</w:t>
      </w:r>
    </w:p>
    <w:p w14:paraId="4CEB8BF0">
      <w:pPr>
        <w:jc w:val="center"/>
      </w:pPr>
      <w:r>
        <w:rPr>
          <w:rFonts w:ascii="Times New Roman" w:hAnsi="Times New Roman"/>
          <w:i/>
          <w:sz w:val="20"/>
        </w:rPr>
        <w:t>February 02, 2026</w:t>
      </w:r>
    </w:p>
    <w:p w14:paraId="6C8B954E"/>
    <w:p w14:paraId="41B6D08B">
      <w:r>
        <w:br w:type="page"/>
      </w:r>
    </w:p>
    <w:p w14:paraId="27270F66">
      <w:pPr>
        <w:pStyle w:val="3"/>
      </w:pPr>
      <w:r>
        <w:rPr>
          <w:rFonts w:ascii="Times New Roman" w:hAnsi="Times New Roman"/>
          <w:sz w:val="28"/>
        </w:rPr>
        <w:t>RESEARCH REPORT: 请你帮我做一个AI+金融领域的研究</w:t>
      </w:r>
    </w:p>
    <w:p w14:paraId="359F3D8A">
      <w:pPr>
        <w:jc w:val="center"/>
      </w:pPr>
      <w:r>
        <w:drawing>
          <wp:inline distT="0" distB="0" distL="114300" distR="114300">
            <wp:extent cx="4114800" cy="2149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14800" cy="2149983"/>
                    </a:xfrm>
                    <a:prstGeom prst="rect">
                      <a:avLst/>
                    </a:prstGeom>
                  </pic:spPr>
                </pic:pic>
              </a:graphicData>
            </a:graphic>
          </wp:inline>
        </w:drawing>
      </w:r>
    </w:p>
    <w:p w14:paraId="587B08EB">
      <w:pPr>
        <w:jc w:val="center"/>
      </w:pPr>
      <w:r>
        <w:rPr>
          <w:rFonts w:ascii="Times New Roman" w:hAnsi="Times New Roman"/>
          <w:sz w:val="18"/>
        </w:rPr>
        <w:t>Figure 1. AI in finance: A comprehensive guide (Source: Bing)</w:t>
      </w:r>
    </w:p>
    <w:p w14:paraId="3FE7351F">
      <w:pPr>
        <w:pStyle w:val="4"/>
      </w:pPr>
      <w:r>
        <w:rPr>
          <w:rFonts w:ascii="Times New Roman" w:hAnsi="Times New Roman"/>
          <w:sz w:val="24"/>
        </w:rPr>
        <w:t>Executive Summary</w:t>
      </w:r>
    </w:p>
    <w:p w14:paraId="62CCA1D7">
      <w:pPr>
        <w:jc w:val="both"/>
      </w:pPr>
      <w:r>
        <w:rPr>
          <w:rFonts w:ascii="Times New Roman" w:hAnsi="Times New Roman"/>
          <w:sz w:val="20"/>
        </w:rPr>
        <w:t>The integration of artificial intelligence (AI) into financial services, termed 'AI+Finance', constitutes a fundamental technological transformation reshaping the industry's operational capabilities, strategic imperatives, and regulatory landscape. This research investigates the multifaceted domain where advanced computational techniques—including machine learning (ML), natural language processing (NLP), and predictive analytics—are applied to automate, optimize, and innovate core financial processes [OECD, 2021]. The overarching objective of this study is to provide a comprehensive analysis of the AI+Finance ecosystem, encompassing its conceptual scope, market dynamics, key technological drivers, leading participants, and evolutionary trajectory. The methodology involves a systematic synthesis of current academic literature, market analyses, and technical reports to delineate the applications, economic impact, and underlying technologies defining this sector. The synthesis reveals that AI is no longer a peripheral innovation but a central engine for value creation, driving efficiency, enabling new forms of risk assessment, and personalizing customer experiences across banking, capital markets, and insurance [Humanities and Social Sciences Communications, 2025; FSB, 2017].</w:t>
      </w:r>
    </w:p>
    <w:p w14:paraId="336ECCB3">
      <w:pPr>
        <w:jc w:val="both"/>
      </w:pPr>
      <w:r>
        <w:rPr>
          <w:rFonts w:ascii="Times New Roman" w:hAnsi="Times New Roman"/>
          <w:sz w:val="20"/>
        </w:rPr>
        <w:t>The scope of AI+Finance is expansive, anchored by several foundational applications that demonstrate the technology's transformative potential. Algorithmic trading employs AI-driven algorithms to execute high-speed, data-informed trades, enhancing market liquidity and efficiency [IOSCO, n.d.]. Robo-advisors utilize similar technologies to democratize wealth management by providing automated, personalized financial planning [Congress.gov, 2024]. Concurrently, AI has revolutionized risk management through enhanced credit scoring models that leverage alternative data to promote financial inclusion and through sophisticated fraud detection systems that analyze transaction patterns in real-time to identify anomalous activity [AESS Publications, 2025; Articsledge, 2025]. The proliferation of these applications has, in turn, spurred the growth of regulatory technology (RegTech), where AI is used to ensure compliance, monitor transactions, and manage the systemic risks introduced by the technology itself [Humanities and Social Sciences Communications, 2025]. This interplay between innovation and governance defines the contemporary AI+Finance landscape.</w:t>
      </w:r>
    </w:p>
    <w:p w14:paraId="27DF8AEB">
      <w:pPr>
        <w:jc w:val="both"/>
      </w:pPr>
      <w:r>
        <w:rPr>
          <w:rFonts w:ascii="Times New Roman" w:hAnsi="Times New Roman"/>
          <w:sz w:val="20"/>
        </w:rPr>
        <w:t>The economic magnitude and growth trajectory of this sector underscore its strategic importance. The AI in Banking, Financial Services, and Insurance (BFSI) market, valued at USD 26.2 billion in 2024, is projected to grow at a compound annual growth rate (CAGR) of 22% through 2034 [GM Insights, n.d.]. This robust expansion is a subset of the broader global AI market, which is itself forecast to grow from approximately $391 billion in 2025 to an estimated $3.5 trillion by 2033 [Grand View Research, n.d.]. Adoption is now a strategic imperative, with leading financial institutions reporting hundreds of production AI use cases aimed at driving operational efficiency, enhancing security, and personalizing services [McKinsey &amp; Company, 2025; Masood, 2025]. The market is propelled by a powerful triad of participants: major technology enablers like IBM, Microsoft, and Google providing cloud and AI infrastructure; incumbent financial giants such as JPMorgan Chase and Goldman Sachs deploying AI at scale; and a vibrant ecosystem of specialized fintech startups introducing disruptive, targeted innovations [Databridge Market Research, 2032; SSRN, 2025].</w:t>
      </w:r>
    </w:p>
    <w:p w14:paraId="37DA7924">
      <w:pPr>
        <w:jc w:val="both"/>
      </w:pPr>
      <w:r>
        <w:rPr>
          <w:rFonts w:ascii="Times New Roman" w:hAnsi="Times New Roman"/>
          <w:sz w:val="20"/>
        </w:rPr>
        <w:t>A technical deep-dive reveals that this market growth is fueled by significant advances in core AI methodologies. Natural Language Processing (NLP) is critical for extracting insights from unstructured textual data like news and social media to inform sentiment analysis and trading signals, though its effectiveness often requires fine-tuning on domain-specific financial corpora [ResearchGate, 2024]. Computer vision automates the processing of visual documents—from invoices to identity cards—dramatically increasing operational efficiency in areas like know-your-customer (KYC) procedures and back-office operations. For dynamic decision-making, reinforcement learning (RL) offers a paradigm for developing adaptive trading and portfolio management strategies through trial-and-error interaction with market environments. The historical evolution of these technologies contextualizes their current sophistication, having progressed from the rigid, rule-based expert systems of the 1980s, through the data-driven machine learning models of the 1990s and 2000s, to the contemporary era of deep learning and autonomous AI agents capable of complex, multi-step reasoning [ResearchGate, 2024; Medium, n.d.].</w:t>
      </w:r>
    </w:p>
    <w:p w14:paraId="7CD10B06">
      <w:pPr>
        <w:jc w:val="both"/>
      </w:pPr>
      <w:r>
        <w:rPr>
          <w:rFonts w:ascii="Times New Roman" w:hAnsi="Times New Roman"/>
          <w:sz w:val="20"/>
        </w:rPr>
        <w:t>In conclusion, the findings indicate that AI+Finance is a mature, high-growth domain characterized by deep technological integration and significant economic value. However, its continued advancement is contingent upon navigating key challenges, including ensuring model transparency and explainability, managing systemic risks posed by interconnected algorithmic systems, and developing robust regulatory frameworks that foster innovation while protecting consumers and market integrity [Facebook, 2025; IOSCO, n.d.]. Future success for financial institutions will depend on strategically integrating these intelligent systems into legacy technology architectures and aligning AI initiatives with core business processes and risk management protocols [The Asian Banker, 2026]. As the technology evolves from supportive tools to autonomous agents, the sector must prioritize investments in governance, ethical AI practices, and human-AI collaboration to harness the full potential of artificial intelligence in building a more efficient, inclusive, and resilient financial system.</w:t>
      </w:r>
    </w:p>
    <w:p w14:paraId="7CB55583">
      <w:pPr>
        <w:pStyle w:val="4"/>
      </w:pPr>
      <w:r>
        <w:rPr>
          <w:rFonts w:ascii="Times New Roman" w:hAnsi="Times New Roman"/>
          <w:sz w:val="24"/>
        </w:rPr>
        <w:t>1. Introduction</w:t>
      </w:r>
    </w:p>
    <w:p w14:paraId="4AFA59CF">
      <w:pPr>
        <w:jc w:val="both"/>
      </w:pPr>
      <w:r>
        <w:rPr>
          <w:rFonts w:ascii="Times New Roman" w:hAnsi="Times New Roman"/>
          <w:sz w:val="20"/>
        </w:rPr>
        <w:t>The financial services industry stands at the precipice of a profound technological revolution, driven by the accelerating integration of artificial intelligence (AI). This convergence, widely termed 'AI+Finance' or AI in Fintech, represents a fundamental shift from traditional, heuristic-based decision-making to a paradigm dominated by data-driven algorithms, predictive analytics, and automated intelligence [OECD, 2021]. The scope of this transformation is vast, encompassing core financial functions such as algorithmic trading, robo-advising, credit scoring, and fraud detection, while simultaneously spurring the development of regulatory technology (RegTech) designed to oversee these very innovations [Humanities and Social Sciences Communications, 2025; IOSCO, n.d.]. This technological infusion is not merely incremental; it is reshaping the operational, strategic, and competitive fabric of banking, insurance, and capital markets worldwide. The impetus for this change is multifaceted, stemming from the explosive growth of digital data, advancements in computational power, and an intensifying demand for efficiency, personalization, and robust risk management in an increasingly complex global financial ecosystem [FSB, 2017].</w:t>
      </w:r>
    </w:p>
    <w:p w14:paraId="327A5F6B">
      <w:pPr>
        <w:jc w:val="both"/>
      </w:pPr>
      <w:r>
        <w:rPr>
          <w:rFonts w:ascii="Times New Roman" w:hAnsi="Times New Roman"/>
          <w:sz w:val="20"/>
        </w:rPr>
        <w:t>The historical evolution of AI in finance provides critical context for understanding its current state and future trajectory. The journey began in the 1980s with the deployment of expert systems—rule-based programs that codified human expertise for tasks like credit assessment [DualMedia Innovation News, n.d.]. While pioneering, these systems were rigid and could not learn from new data. The 1990s and 2000s witnessed a paradigm shift with the rise of machine learning (ML), which enabled systems to identify patterns and make predictions from historical data, moving beyond pre-programmed rules [Medium, n.d.]. This era saw early applications in stock prediction and personalized financial tools, exemplified by platforms like Mint.com [Loanworks.ai, n.d.]. The post-2010 period has been defined by the ascendance of deep learning and big data, unlocking capabilities in natural language processing (NLP) for sentiment analysis, computer vision for document automation, and reinforcement learning for adaptive trading strategies [GeeksforGeeks, n.d.]. This evolution from static, logic-based systems to dynamic, learning architectures underscores the technology's growing sophistication and its deepening embedment within financial workflows.</w:t>
      </w:r>
    </w:p>
    <w:p w14:paraId="6C32DC77">
      <w:pPr>
        <w:jc w:val="both"/>
      </w:pPr>
      <w:r>
        <w:rPr>
          <w:rFonts w:ascii="Times New Roman" w:hAnsi="Times New Roman"/>
          <w:sz w:val="20"/>
        </w:rPr>
        <w:t>The market dynamics surrounding AI+Finance underscore its significance as a dominant technological trend. The global AI in Banking, Financial Services, and Insurance (BFSI) market, valued at USD 26.2 billion in 2024, is projected to grow at a compound annual growth rate (CAGR) of 22% through 2034, reflecting massive and sustained investment [GM Insights, n.d.]. This growth is a subset of the broader artificial intelligence market, which itself is forecast to expand from approximately $391 billion in 2025 to an astounding $3.5 trillion by 2033 [Grand View Research, n.d.]. Adoption is now a strategic imperative, with leading financial institutions like JPMorgan Chase reporting over 300 AI use cases in production, spanning from fraud detection to personalized investment indices [Masood, 2025]. The competitive landscape is driven by a triad of actors: major technology enablers like IBM, Microsoft, and Google providing cloud and AI infrastructure; incumbent financial giants such as JPMorgan, Goldman Sachs, and Bank of America investing heavily in proprietary AI capabilities; and a vibrant ecosystem of specialized fintech startups introducing disruptive, targeted applications [Databridge Market Research, 2032; Dimension Market Research, 2034]. This confluence of historical maturation, explosive market growth, and intense competition frames the critical need for a comprehensive analysis of AI's role in reshaping finance.</w:t>
      </w:r>
    </w:p>
    <w:p w14:paraId="788D2B82">
      <w:pPr>
        <w:pStyle w:val="5"/>
      </w:pPr>
      <w:r>
        <w:rPr>
          <w:rFonts w:ascii="Times New Roman" w:hAnsi="Times New Roman"/>
          <w:sz w:val="22"/>
        </w:rPr>
        <w:t>1.1 Research Questions</w:t>
      </w:r>
    </w:p>
    <w:p w14:paraId="78EE5E43">
      <w:pPr>
        <w:jc w:val="both"/>
      </w:pPr>
      <w:r>
        <w:rPr>
          <w:rFonts w:ascii="Times New Roman" w:hAnsi="Times New Roman"/>
          <w:sz w:val="20"/>
        </w:rPr>
        <w:t>Given this transformative backdrop, this report is guided by the following core research questions:</w:t>
      </w:r>
    </w:p>
    <w:p w14:paraId="52C14D3C">
      <w:pPr>
        <w:pStyle w:val="14"/>
      </w:pPr>
      <w:r>
        <w:rPr>
          <w:rFonts w:ascii="Times New Roman" w:hAnsi="Times New Roman"/>
          <w:sz w:val="20"/>
        </w:rPr>
        <w:t xml:space="preserve"> Technological Application &amp; Efficacy: What are the predominant AI methodologies—including natural language processing, computer vision, and reinforcement learning—being deployed across key financial domains such as algorithmic trading, risk management, and customer service, and what is their demonstrated impact on performance metrics like accuracy, efficiency, and return on investment?</w:t>
      </w:r>
    </w:p>
    <w:p w14:paraId="62E5FCA1">
      <w:pPr>
        <w:pStyle w:val="14"/>
      </w:pPr>
      <w:r>
        <w:rPr>
          <w:rFonts w:ascii="Times New Roman" w:hAnsi="Times New Roman"/>
          <w:sz w:val="20"/>
        </w:rPr>
        <w:t xml:space="preserve"> Market Structure &amp; Competitive Dynamics: How is the AI+Finance landscape evolving in terms of market segmentation, growth drivers, and the symbiotic yet competitive relationships between technology providers, traditional financial institutions, and fintech innovators?</w:t>
      </w:r>
    </w:p>
    <w:p w14:paraId="12409135">
      <w:pPr>
        <w:pStyle w:val="14"/>
      </w:pPr>
      <w:r>
        <w:rPr>
          <w:rFonts w:ascii="Times New Roman" w:hAnsi="Times New Roman"/>
          <w:sz w:val="20"/>
        </w:rPr>
        <w:t xml:space="preserve"> Risk, Governance, and Regulatory Response: What are the emergent systemic and operational risks associated with pervasive AI adoption in finance—including model opacity, data bias, and cyber vulnerabilities—and how are regulatory frameworks and RegTech solutions evolving to mitigate these challenges while fostering responsible innovation?</w:t>
      </w:r>
    </w:p>
    <w:p w14:paraId="2191363F">
      <w:pPr>
        <w:pStyle w:val="5"/>
      </w:pPr>
      <w:r>
        <w:rPr>
          <w:rFonts w:ascii="Times New Roman" w:hAnsi="Times New Roman"/>
          <w:sz w:val="22"/>
        </w:rPr>
        <w:t>1.2 Methodology</w:t>
      </w:r>
    </w:p>
    <w:p w14:paraId="3CF3F6F7">
      <w:pPr>
        <w:jc w:val="both"/>
      </w:pPr>
      <w:r>
        <w:rPr>
          <w:rFonts w:ascii="Times New Roman" w:hAnsi="Times New Roman"/>
          <w:sz w:val="20"/>
        </w:rPr>
        <w:t>To address these questions, this report employs a structured, multi-method research methodology designed to synthesize academic, industry, and market perspectives. The approach is outlined in the following flowchart, which details the sequential and iterative phases of the investigation.</w:t>
      </w:r>
    </w:p>
    <w:p w14:paraId="0FF7BFEA">
      <w:pPr>
        <w:jc w:val="center"/>
      </w:pPr>
      <w:r>
        <w:drawing>
          <wp:inline distT="0" distB="0" distL="114300" distR="114300">
            <wp:extent cx="4114800" cy="9231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14800" cy="9231928"/>
                    </a:xfrm>
                    <a:prstGeom prst="rect">
                      <a:avLst/>
                    </a:prstGeom>
                  </pic:spPr>
                </pic:pic>
              </a:graphicData>
            </a:graphic>
          </wp:inline>
        </w:drawing>
      </w:r>
    </w:p>
    <w:p w14:paraId="76B20DC4">
      <w:pPr>
        <w:jc w:val="center"/>
      </w:pPr>
      <w:r>
        <w:rPr>
          <w:rFonts w:ascii="Times New Roman" w:hAnsi="Times New Roman"/>
          <w:sz w:val="18"/>
        </w:rPr>
        <w:t>Figure 2. Research methodology overview (Source: Generated Flowchart Diagram)</w:t>
      </w:r>
    </w:p>
    <w:p w14:paraId="6C3A33AC">
      <w:pPr>
        <w:jc w:val="both"/>
      </w:pPr>
      <w:r>
        <w:rPr>
          <w:rFonts w:ascii="Times New Roman" w:hAnsi="Times New Roman"/>
          <w:sz w:val="20"/>
        </w:rPr>
        <w:t>flowchart TD</w:t>
      </w:r>
    </w:p>
    <w:p w14:paraId="0C419B44">
      <w:pPr>
        <w:jc w:val="both"/>
      </w:pPr>
      <w:r>
        <w:rPr>
          <w:rFonts w:ascii="Times New Roman" w:hAnsi="Times New Roman"/>
          <w:sz w:val="20"/>
        </w:rPr>
        <w:t>A[Phase 1: Literature Review &amp;&lt;br&gt;Scope Definition] --&gt; B[Phase 2: Market &amp;&lt;br&gt;Technical Analysis];</w:t>
      </w:r>
    </w:p>
    <w:p w14:paraId="37F8227C">
      <w:pPr>
        <w:jc w:val="both"/>
      </w:pPr>
      <w:r>
        <w:rPr>
          <w:rFonts w:ascii="Times New Roman" w:hAnsi="Times New Roman"/>
          <w:sz w:val="20"/>
        </w:rPr>
        <w:t>B --&gt; C[Phase 3: Case Study &amp;&lt;br&gt;Player Profiling];</w:t>
      </w:r>
    </w:p>
    <w:p w14:paraId="39339DB6">
      <w:pPr>
        <w:jc w:val="both"/>
      </w:pPr>
      <w:r>
        <w:rPr>
          <w:rFonts w:ascii="Times New Roman" w:hAnsi="Times New Roman"/>
          <w:sz w:val="20"/>
        </w:rPr>
        <w:t>C --&gt; D[Phase 4: Synthesis &amp;&lt;br&gt;Gap Identification];</w:t>
      </w:r>
    </w:p>
    <w:p w14:paraId="00A50E7E">
      <w:pPr>
        <w:jc w:val="both"/>
      </w:pPr>
      <w:r>
        <w:rPr>
          <w:rFonts w:ascii="Times New Roman" w:hAnsi="Times New Roman"/>
          <w:sz w:val="20"/>
        </w:rPr>
        <w:t>D --&gt; E[Phase 5: Future Horizon &amp;&lt;br&gt;Recommendations];</w:t>
      </w:r>
    </w:p>
    <w:p w14:paraId="5C576797">
      <w:pPr>
        <w:jc w:val="both"/>
      </w:pPr>
      <w:r>
        <w:rPr>
          <w:rFonts w:ascii="Times New Roman" w:hAnsi="Times New Roman"/>
          <w:sz w:val="20"/>
        </w:rPr>
        <w:t>The research commenced with a comprehensive literature review (Phase 1) to establish the conceptual boundaries of AI+Finance, define core terminologies, and trace its historical evolution. This foundational work informed a dual-focus analysis in Phase 2: a quantitative market analysis examining size, growth projections, and adoption statistics from industry reports, and a qualitative technical deep-dive into the architectures and algorithms underpinning major applications. Phase 3 involved strategic case study analysis and player profiling, identifying and evaluating the strategies of leading technology firms, financial institutions, and fintech startups. The insights from these phases were synthesized in Phase 4 to identify critical trends, efficacy evidence, and prevailing challenges. The final phase (Phase 5) extrapolates these findings to propose future directions and strategic recommendations. Throughout this process, data was triangulated from peer-reviewed academic publications, authoritative industry reports (e.g., from McKinsey, OECD), financial filings, and reputable technology analyses to ensure robustness and balance.</w:t>
      </w:r>
    </w:p>
    <w:p w14:paraId="6D4D4751">
      <w:pPr>
        <w:pStyle w:val="5"/>
      </w:pPr>
      <w:r>
        <w:rPr>
          <w:rFonts w:ascii="Times New Roman" w:hAnsi="Times New Roman"/>
          <w:sz w:val="22"/>
        </w:rPr>
        <w:t>1.3 Report Structure</w:t>
      </w:r>
    </w:p>
    <w:p w14:paraId="6446D0ED">
      <w:pPr>
        <w:jc w:val="both"/>
      </w:pPr>
      <w:r>
        <w:rPr>
          <w:rFonts w:ascii="Times New Roman" w:hAnsi="Times New Roman"/>
          <w:sz w:val="20"/>
        </w:rPr>
        <w:t>Following this introduction, the report is organized into five substantive chapters that systematically explore the AI+Finance ecosystem. Chapter 2: The AI+Finance Ecosystem: Core Applications and Technologies provides a detailed examination of key use cases—including algorithmic trading, robo-advisors, credit scoring, and fraud detection—and the core AI methodologies that enable them. Chapter 3: Market Landscape, Key Players, and Adoption Drivers analyzes the global market size, growth trajectories, and the competitive dynamics among the major technology providers, financial institutions, and fintech innovators shaping the industry. Chapter 4: Implementation, Risks, and Regulatory Challenges delves into the practical hurdles of integrating AI into legacy systems, the emergent risks related to bias, transparency, and systemic stability, and the evolving regulatory and RegTech landscape. Chapter 5: Future Horizons and Strategic Recommendations projects emerging trends, such as the rise of autonomous AI agents and quantum computing, and offers strategic guidance for stakeholders navigating this complex and rapidly evolving field. The report concludes with a summary of key findings and their implications for the future of finance.</w:t>
      </w:r>
    </w:p>
    <w:p w14:paraId="768D295E">
      <w:pPr>
        <w:pStyle w:val="4"/>
      </w:pPr>
      <w:r>
        <w:rPr>
          <w:rFonts w:ascii="Times New Roman" w:hAnsi="Times New Roman"/>
          <w:sz w:val="24"/>
        </w:rPr>
        <w:t>2. Background and Literature Review</w:t>
      </w:r>
    </w:p>
    <w:p w14:paraId="21564CA5">
      <w:pPr>
        <w:jc w:val="both"/>
      </w:pPr>
      <w:r>
        <w:rPr>
          <w:rFonts w:ascii="Times New Roman" w:hAnsi="Times New Roman"/>
          <w:sz w:val="20"/>
        </w:rPr>
        <w:t>The integration of artificial intelligence (AI) into financial services, commonly termed ‘AI+Finance’ or FinTech, represents one of the most significant technological transformations of the modern economic landscape. This convergence is not a sudden disruption but the culmination of a decades-long evolution, driven by advances in computational power, data availability, and algorithmic sophistication. This section provides the necessary historical context, theoretical grounding, and synthesis of prior research to frame the current state and future trajectory of AI in finance. It begins by charting the field's historical progression from early rule-based systems to contemporary data-driven intelligence. It then defines the core scope and applications that constitute the modern AI+Finance ecosystem, supported by an analysis of its substantial market size and adoption trends. A review of the key technological methodologies and major institutional players follows, culminating in a discussion of the persistent challenges and critical research gaps that define the frontier of this dynamic domain.</w:t>
      </w:r>
    </w:p>
    <w:p w14:paraId="0785AD35">
      <w:pPr>
        <w:pStyle w:val="5"/>
      </w:pPr>
      <w:r>
        <w:rPr>
          <w:rFonts w:ascii="Times New Roman" w:hAnsi="Times New Roman"/>
          <w:sz w:val="22"/>
        </w:rPr>
        <w:t>2.1 Historical Evolution of AI in Finance</w:t>
      </w:r>
    </w:p>
    <w:p w14:paraId="07233D12">
      <w:pPr>
        <w:jc w:val="both"/>
      </w:pPr>
      <w:r>
        <w:rPr>
          <w:rFonts w:ascii="Times New Roman" w:hAnsi="Times New Roman"/>
          <w:sz w:val="20"/>
        </w:rPr>
        <w:t>The journey of AI in finance is a narrative of progressive capability, evolving from simplistic automation to sophisticated, adaptive intelligence. The foundational chapter opened in the 1980s with the deployment of expert systems. These were among the first practical AI applications in finance, designed to emulate the decision-making of human experts by encoding specialized knowledge into a series of rigid "if-then" rules [DualMedia Innovation News, n.d.]. They were applied to tasks such as credit assessment, fraud detection, and basic financial advisory, offering consistency and processing speed unattainable by humans alone [ResearchGate, 2024]. However, their limitations were profound. These systems were inherently brittle; they could not learn from new data, struggled with scenarios outside their pre-programmed logic, and required labor-intensive maintenance by knowledge engineers to update their rule sets [Computer.org, n.d.]. This era established the ambition of automating financial reasoning but underscored the need for systems capable of learning and adaptation.</w:t>
      </w:r>
    </w:p>
    <w:p w14:paraId="02BBA834">
      <w:pPr>
        <w:jc w:val="both"/>
      </w:pPr>
      <w:r>
        <w:rPr>
          <w:rFonts w:ascii="Times New Roman" w:hAnsi="Times New Roman"/>
          <w:sz w:val="20"/>
        </w:rPr>
        <w:t>The 1990s and early 2000s witnessed a paradigm shift with the ascendance of machine learning (ML), moving the field from programmed logic to learned patterns [Medium, n.d.]. Fueled by increasing digitization and the early internet, which generated larger structured datasets, ML algorithms began to identify complex, non-linear relationships within financial data. Techniques such as neural networks, decision trees, and support vector machines were applied to classic problems including stock price prediction, portfolio optimization, and enhanced risk modeling [Chicago Booth Review, 2021; Quinn, 2023]. This period also saw the emergence of consumer-facing applications, exemplified by platforms like Mint.com (launched in 2006), which used ML to analyze personal transaction data and provide automated financial insights, democratizing access to personalized finance tools [Loanworks.ai, n.d.]. The theoretical underpinning shifted from symbolic AI to statistical learning, enabling predictive analytics based on historical data rather than static rules.</w:t>
      </w:r>
    </w:p>
    <w:p w14:paraId="3E56C374">
      <w:pPr>
        <w:jc w:val="both"/>
      </w:pPr>
      <w:r>
        <w:rPr>
          <w:rFonts w:ascii="Times New Roman" w:hAnsi="Times New Roman"/>
          <w:sz w:val="20"/>
        </w:rPr>
        <w:t>The contemporary era, accelerating post-2010, is defined by the rise of deep learning and the exploitation of big data. The confluence of massive datasets (from transactions, social media, sensors, and alternative sources), exponentially greater computing power (especially through GPUs), and advanced neural network architectures has unlocked unprecedented capabilities [OECD, 2021]. Deep learning models, with their ability to automatically extract hierarchical features from raw data, have revolutionized areas like natural language processing for sentiment analysis and computer vision for document automation. Furthermore, the development of reinforcement learning has introduced frameworks for developing adaptive agents that learn optimal strategies through interaction with dynamic environments like financial markets. This modern phase is characterized by a move from decision support to autonomous decision-making, with AI systems now capable of executing trades, managing portfolios, underwriting insurance, and detecting fraud in real-time with minimal human intervention [FSB, 2017]. The historical progression can be conceptualized as a flow from deterministic rules to probabilistic learning and, ultimately, to autonomous adaptation.</w:t>
      </w:r>
    </w:p>
    <w:p w14:paraId="3DADC5FF">
      <w:pPr>
        <w:jc w:val="center"/>
      </w:pPr>
      <w:r>
        <w:drawing>
          <wp:inline distT="0" distB="0" distL="114300" distR="114300">
            <wp:extent cx="4114800" cy="109931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14800" cy="10993740"/>
                    </a:xfrm>
                    <a:prstGeom prst="rect">
                      <a:avLst/>
                    </a:prstGeom>
                  </pic:spPr>
                </pic:pic>
              </a:graphicData>
            </a:graphic>
          </wp:inline>
        </w:drawing>
      </w:r>
    </w:p>
    <w:p w14:paraId="6C3D6213">
      <w:pPr>
        <w:jc w:val="center"/>
      </w:pPr>
      <w:r>
        <w:rPr>
          <w:rFonts w:ascii="Times New Roman" w:hAnsi="Times New Roman"/>
          <w:sz w:val="18"/>
        </w:rPr>
        <w:t>Figure 3. Evolution of the field (Source: Generated Flowchart Diagram)</w:t>
      </w:r>
    </w:p>
    <w:p w14:paraId="64F9AB25">
      <w:pPr>
        <w:jc w:val="both"/>
      </w:pPr>
      <w:r>
        <w:rPr>
          <w:rFonts w:ascii="Times New Roman" w:hAnsi="Times New Roman"/>
          <w:sz w:val="20"/>
        </w:rPr>
        <w:t>flowchart TD</w:t>
      </w:r>
    </w:p>
    <w:p w14:paraId="2FB94EE1">
      <w:pPr>
        <w:jc w:val="both"/>
      </w:pPr>
      <w:r>
        <w:rPr>
          <w:rFonts w:ascii="Times New Roman" w:hAnsi="Times New Roman"/>
          <w:sz w:val="20"/>
        </w:rPr>
        <w:t>A[1980s: Expert Systems] --&gt; B[1990s-2000s: Machine Learning];</w:t>
      </w:r>
    </w:p>
    <w:p w14:paraId="23FA2836">
      <w:pPr>
        <w:jc w:val="both"/>
      </w:pPr>
      <w:r>
        <w:rPr>
          <w:rFonts w:ascii="Times New Roman" w:hAnsi="Times New Roman"/>
          <w:sz w:val="20"/>
        </w:rPr>
        <w:t>B --&gt; C[Post-2010: Deep Learning &amp; Big Data];</w:t>
      </w:r>
    </w:p>
    <w:p w14:paraId="403FCAAB">
      <w:pPr>
        <w:jc w:val="both"/>
      </w:pPr>
      <w:r>
        <w:rPr>
          <w:rFonts w:ascii="Times New Roman" w:hAnsi="Times New Roman"/>
          <w:sz w:val="20"/>
        </w:rPr>
        <w:t>A -- Paradigm: Rule-Based Logic --&gt; B;</w:t>
      </w:r>
    </w:p>
    <w:p w14:paraId="0978C6E3">
      <w:pPr>
        <w:jc w:val="both"/>
      </w:pPr>
      <w:r>
        <w:rPr>
          <w:rFonts w:ascii="Times New Roman" w:hAnsi="Times New Roman"/>
          <w:sz w:val="20"/>
        </w:rPr>
        <w:t>B -- Paradigm: Statistical Learning from Data --&gt; C;</w:t>
      </w:r>
    </w:p>
    <w:p w14:paraId="0DD09A2E">
      <w:pPr>
        <w:jc w:val="both"/>
      </w:pPr>
      <w:r>
        <w:rPr>
          <w:rFonts w:ascii="Times New Roman" w:hAnsi="Times New Roman"/>
          <w:sz w:val="20"/>
        </w:rPr>
        <w:t>C -- Paradigm: Autonomous Feature Learning &amp; Adaptation;</w:t>
      </w:r>
    </w:p>
    <w:p w14:paraId="22DF4F08">
      <w:pPr>
        <w:jc w:val="both"/>
      </w:pPr>
      <w:r>
        <w:rPr>
          <w:rFonts w:ascii="Times New Roman" w:hAnsi="Times New Roman"/>
          <w:sz w:val="20"/>
        </w:rPr>
        <w:t>subgraph C [Modern Era]</w:t>
      </w:r>
    </w:p>
    <w:p w14:paraId="781CA1C4">
      <w:pPr>
        <w:jc w:val="both"/>
      </w:pPr>
      <w:r>
        <w:rPr>
          <w:rFonts w:ascii="Times New Roman" w:hAnsi="Times New Roman"/>
          <w:sz w:val="20"/>
        </w:rPr>
        <w:t>C1[Deep Neural Networks]</w:t>
      </w:r>
    </w:p>
    <w:p w14:paraId="6A68845F">
      <w:pPr>
        <w:jc w:val="both"/>
      </w:pPr>
      <w:r>
        <w:rPr>
          <w:rFonts w:ascii="Times New Roman" w:hAnsi="Times New Roman"/>
          <w:sz w:val="20"/>
        </w:rPr>
        <w:t>C2[Reinforcement Learning]</w:t>
      </w:r>
    </w:p>
    <w:p w14:paraId="65532B28">
      <w:pPr>
        <w:jc w:val="both"/>
      </w:pPr>
      <w:r>
        <w:rPr>
          <w:rFonts w:ascii="Times New Roman" w:hAnsi="Times New Roman"/>
          <w:sz w:val="20"/>
        </w:rPr>
        <w:t>C3[Large Language Models]</w:t>
      </w:r>
    </w:p>
    <w:p w14:paraId="32AB4635">
      <w:pPr>
        <w:jc w:val="both"/>
      </w:pPr>
      <w:r>
        <w:rPr>
          <w:rFonts w:ascii="Times New Roman" w:hAnsi="Times New Roman"/>
          <w:sz w:val="20"/>
        </w:rPr>
        <w:t>end</w:t>
      </w:r>
    </w:p>
    <w:p w14:paraId="027AD51F">
      <w:pPr>
        <w:pStyle w:val="5"/>
      </w:pPr>
      <w:r>
        <w:rPr>
          <w:rFonts w:ascii="Times New Roman" w:hAnsi="Times New Roman"/>
          <w:sz w:val="22"/>
        </w:rPr>
        <w:t>2.2 Defining the Scope and Core Concepts of AI+Finance</w:t>
      </w:r>
    </w:p>
    <w:p w14:paraId="7652E133">
      <w:pPr>
        <w:jc w:val="both"/>
      </w:pPr>
      <w:r>
        <w:rPr>
          <w:rFonts w:ascii="Times New Roman" w:hAnsi="Times New Roman"/>
          <w:sz w:val="20"/>
        </w:rPr>
        <w:t>The domain of ‘AI+Finance’ encompasses the application of advanced computational techniques—primarily machine learning, deep learning, natural language processing (NLP), and predictive analytics—to automate, optimize, and innovate across the entire financial services value chain [OECD, 2021]. Its scope extends beyond mere operational efficiency to enable sophisticated, data-driven decision-making that enhances accuracy, accessibility, and personalization within financial systems [Humanities and Social Sciences Communications, 2025]. This transformation is underpinned by the availability of vast, diverse datasets (‘big data’) and powerful computing infrastructure, allowing institutions to extract actionable insights and manage risks with unprecedented precision [FSB, 2017]. Several key applications have crystallized as foundational pillars of this ecosystem.</w:t>
      </w:r>
    </w:p>
    <w:p w14:paraId="4D8549C5">
      <w:pPr>
        <w:jc w:val="both"/>
      </w:pPr>
      <w:r>
        <w:rPr>
          <w:rFonts w:ascii="Times New Roman" w:hAnsi="Times New Roman"/>
          <w:sz w:val="20"/>
        </w:rPr>
        <w:t>In capital markets, algorithmic trading utilizes AI-driven models to execute high-speed, high-volume trades based on learned market patterns or complex predefined rules, thereby enhancing market liquidity and efficiency [IOSCO, n.d.]. Closely related, robo-advisors are digital platforms that provide automated, algorithm-driven financial planning and investment management. By analyzing a client’s financial profile and goals, these systems offer personalized portfolio recommendations, automatic rebalancing, and tax optimization, democratizing access to wealth management services [Congress.gov, 2024; WPI, n.d.]. In risk management and consumer finance, AI has revolutionized credit scoring. Moving beyond traditional historical financial data, AI models can incorporate alternative data sources—such as utility payments or mobile usage patterns—to assess the creditworthiness of individuals with thin files, promoting greater financial inclusion [AESS Publications, 2025; ScienceDirect, 2025]. Simultaneously, AI-powered fraud detection systems employ complex ML models to analyze millions of transactions in real-time, identifying subtle anomalous patterns indicative of fraudulent activity far more effectively than static, rule-based systems ever could [Articsledge, 2025; FSB, 2017].</w:t>
      </w:r>
    </w:p>
    <w:p w14:paraId="7406CEC2">
      <w:pPr>
        <w:jc w:val="both"/>
      </w:pPr>
      <w:r>
        <w:rPr>
          <w:rFonts w:ascii="Times New Roman" w:hAnsi="Times New Roman"/>
          <w:sz w:val="20"/>
        </w:rPr>
        <w:t>The proliferation of these powerful applications has necessitated the parallel development of Regulatory Technology (RegTech). RegTech refers to the use of AI to facilitate compliance, monitor systemic risks, and report data to authorities. As financial products and AI models grow more complex, both firms and regulators leverage AI to parse legal documents, monitor for market abuse, and ensure algorithmic systems operate within prescribed boundaries [Humanities and Social Sciences Communications, 2025; SSRN, n.d.]. This creates a critical symbiosis: while AI drives innovation in core financial services, it also supplies the tools to supervise and govern that innovation, addressing emergent challenges related to model transparency, data privacy, and financial stability [IOSCO, n.d.]. Thus, the scope of AI+Finance is defined by this dynamic interplay between transformative applications—in trading, advising, lending, and security—and the evolving technological frameworks required for their safe, fair, and effective deployment.</w:t>
      </w:r>
    </w:p>
    <w:p w14:paraId="05EF55E3">
      <w:pPr>
        <w:pStyle w:val="5"/>
      </w:pPr>
      <w:r>
        <w:rPr>
          <w:rFonts w:ascii="Times New Roman" w:hAnsi="Times New Roman"/>
          <w:sz w:val="22"/>
        </w:rPr>
        <w:t>2.3 Market Landscape and Adoption Trends</w:t>
      </w:r>
    </w:p>
    <w:p w14:paraId="79D63EB3">
      <w:pPr>
        <w:jc w:val="both"/>
      </w:pPr>
      <w:r>
        <w:rPr>
          <w:rFonts w:ascii="Times New Roman" w:hAnsi="Times New Roman"/>
          <w:sz w:val="20"/>
        </w:rPr>
        <w:t>The integration of AI into financial services is underpinned by a market of substantial size and remarkable growth momentum, reflecting its status as a strategic imperative. The global AI in finance market is projected to expand significantly through 2030 [MarketsandMarkets, n.d.]. More specifically, the AI in Banking, Financial Services, and Insurance (BFSI) sector was valued at approximately USD 26.2 billion in 2024 and is estimated to register a compound annual growth rate (CAGR) of 22% from 2025 to 2034 [GM Insights, n.d.]. This growth is a subset of the broader AI explosion; the global artificial intelligence market, valued at around USD 390.91 billion in 2025, is projected to reach USD 3,497.26 billion by 2033, expanding at a CAGR of 30.6% [Grand View Research, n.d.]. Within this expansive ecosystem, specialized segments like autonomous AI agents for finance are forecast to grow from $1.96 billion in 2026 to $5.71 billion by 2034, indicating a maturation toward more advanced, self-directed systems [Fortune Business Insights, 2026].</w:t>
      </w:r>
    </w:p>
    <w:p w14:paraId="0BE55C33">
      <w:pPr>
        <w:jc w:val="both"/>
      </w:pPr>
      <w:r>
        <w:rPr>
          <w:rFonts w:ascii="Times New Roman" w:hAnsi="Times New Roman"/>
          <w:sz w:val="20"/>
        </w:rPr>
        <w:t>Adoption is now widespread and deepening beyond experimentation. The 2025 McKinsey Global Survey on AI confirms that financial services remain at the forefront of industries realizing tangible value from AI implementation, with high-impact use cases in operations, risk, and customer engagement [McKinsey &amp; Company, 2025]. The drive for adoption is multifaceted, aiming not only for operational efficiency and cost reduction but also for developing innovative solutions that overcome traditional barriers to financial access [Fortune Business Insights, 2026]. Geographically, Western Europe and North America are the leading regions in both the broader financial services market and AI investment, with national markets like the United Kingdom and Germany representing significant hubs of AI-driven financial innovation [The Business Research Company, n.d.]. Leading global institutions, including JPMorgan Chase, Bank of America, Goldman Sachs, Allianz, and AXA, are actively deploying and innovating with AI-powered products and platforms, setting a competitive pace for the entire industry [The Business Research Company, n.d.]. The convergence of massive market size, aggressive growth projections, and deepening institutional adoption paints a clear picture of a sector whose operational and strategic foundations are being fundamentally reshaped by artificial intelligence.</w:t>
      </w:r>
    </w:p>
    <w:p w14:paraId="470B31F0">
      <w:pPr>
        <w:pStyle w:val="5"/>
      </w:pPr>
      <w:r>
        <w:rPr>
          <w:rFonts w:ascii="Times New Roman" w:hAnsi="Times New Roman"/>
          <w:sz w:val="22"/>
        </w:rPr>
        <w:t>2.4 Core Technologies and Methodological Foundations</w:t>
      </w:r>
    </w:p>
    <w:p w14:paraId="59C7D8BF">
      <w:pPr>
        <w:jc w:val="both"/>
      </w:pPr>
      <w:r>
        <w:rPr>
          <w:rFonts w:ascii="Times New Roman" w:hAnsi="Times New Roman"/>
          <w:sz w:val="20"/>
        </w:rPr>
        <w:t>The transformative impact of AI in finance is enabled by a suite of core technologies, each tailored to extract value from different data modalities and solve distinct classes of problems. At the most general level, AI in finance leverages algorithms that enable machines to learn from data, identify patterns, and make decisions with minimal human intervention [GeeksforGeeks, n.d.]. Among these, Natural Language Processing (NLP) has become indispensable for parsing the vast universe of unstructured textual data. NLP involves the computational processing of natural language for tasks like classification, understanding, and generation [Wikipedia, n.d.]. In finance, it is primarily used for sentiment analysis—scraping and assessing news articles, earnings reports, and social media to gauge market mood and predict asset price movements [hasim pathan, n.d.; Singapore Natural Language Processing for Finance Market, n.d.]. Research indicates that general-purpose language models often require fine-tuning on specialized financial corpora to achieve high accuracy in this domain [ResearchGate, 2024]. Beyond markets, NLP powers conversational AI for customer service and automates the analysis of legal and compliance documents, significantly enhancing efficiency [Artificial Intelligence in Finance, n.d.; Indotectonic, n.d.].</w:t>
      </w:r>
    </w:p>
    <w:p w14:paraId="7A978D82">
      <w:pPr>
        <w:jc w:val="both"/>
      </w:pPr>
      <w:r>
        <w:rPr>
          <w:rFonts w:ascii="Times New Roman" w:hAnsi="Times New Roman"/>
          <w:sz w:val="20"/>
        </w:rPr>
        <w:t>Computer Vision serves as the complementary "eyes" of the industry, automating the extraction of information from visual documents. This technology is critical for processing invoices, contracts, loan applications, and identity documents (e.g., for Know Your Customer procedures). By automating data entry from these sources, computer vision reduces manual labor, minimizes errors, and accelerates workflows, allowing human analysts to focus on complex judgment tasks. The synergy between computer vision and NLP is particularly potent in intelligent document processing systems that can interpret both the layout and the semantic content of a document. For dynamic, sequential decision-making problems, Reinforcement Learning (RL) offers a powerful framework. RL agents learn optimal strategies (e.g., trading or execution policies) through trial-and-error interactions with an environment, aiming to maximize a cumulative reward signal such as risk-adjusted return. This allows for the development of adaptive strategies that can respond to changing market conditions. However, deploying RL in live finance is fraught with challenges, including the non-stationarity of markets, the high cost of exploration with real capital, and risks of overfitting, necessitating robust simulation and stringent risk controls [GeeksforGeeks, n.d.]. Together, NLP, computer vision, and RL form a technological triad that converts unstructured data into intelligence, automates operational workflows, and creates adaptive systems for market engagement.</w:t>
      </w:r>
    </w:p>
    <w:p w14:paraId="6101F7AF">
      <w:pPr>
        <w:pStyle w:val="5"/>
      </w:pPr>
      <w:r>
        <w:rPr>
          <w:rFonts w:ascii="Times New Roman" w:hAnsi="Times New Roman"/>
          <w:sz w:val="22"/>
        </w:rPr>
        <w:t>2.5 Key Institutional Players and the Competitive Landscape</w:t>
      </w:r>
    </w:p>
    <w:p w14:paraId="0C7343A8">
      <w:pPr>
        <w:jc w:val="both"/>
      </w:pPr>
      <w:r>
        <w:rPr>
          <w:rFonts w:ascii="Times New Roman" w:hAnsi="Times New Roman"/>
          <w:sz w:val="20"/>
        </w:rPr>
        <w:t>The AI+Finance ecosystem is propelled by a tripartite structure of leading technology providers, incumbent financial institutions, and agile fintech startups, whose interactions define the competitive and innovative landscape. Major technology companies such as IBM, Microsoft, and Google act as foundational enablers, providing the cloud infrastructure, AI platforms (e.g., Watson, Azure AI), and specialized tools upon which financial applications are built [Emerald, n.d.]. Their role often extends into deep strategic partnerships; for example, JPMorgan Chase collaborates with IBM on AI and quantum computing research, while Goldman Sachs partners with Microsoft on Azure and quantum prototyping [SSRN, 2025]. These partnerships provide financial institutions with the scalable computational backbone necessary for deploying AI at an enterprise level.</w:t>
      </w:r>
    </w:p>
    <w:p w14:paraId="1FB87F60">
      <w:pPr>
        <w:jc w:val="both"/>
      </w:pPr>
      <w:r>
        <w:rPr>
          <w:rFonts w:ascii="Times New Roman" w:hAnsi="Times New Roman"/>
          <w:sz w:val="20"/>
        </w:rPr>
        <w:t>Leading financial institutions are not merely consumers of technology but are themselves major innovators. JPMorgan Chase is frequently cited as a benchmark, with over 300 AI use cases in production, spanning applications like IndexGPT for investment strategies and the COIN platform for fraud detection and compliance analysis [Masood, 2025; Bold Generic Solutions, 2026]. Goldman Sachs makes substantial investments in AI, with a pronounced focus on transparency and explainability to mitigate systemic algorithmic risks [Facebook, 2025]. This focus is shared across the industry, with other global banks like Bank of America, Citibank, HSBC, and insurers like Allianz investing heavily in machine learning for security, customer service, and risk management [Dimension Market Research, 2034; Prove, n.d.]. Concurrently, a vibrant sector of specialized fintech startups drives innovation at the edges, often focusing on niche areas within digital lending, payments, wealth management, or RegTech [PubMed, n.d.]. These agile firms leverage cloud AI tools to create targeted solutions that challenge incumbents and address unmet needs, acting as a potent accelerant for market-wide innovation [Databridge Market Research, 2032]. The interplay between these three groups—where tech firms provide the platform, incumbents integrate at scale, and startups pioneer new models—creates a dynamic and rapidly evolving field that is a central subject of academic and policy discourse [Emerald, n.d.].</w:t>
      </w:r>
    </w:p>
    <w:p w14:paraId="3DFAA188">
      <w:pPr>
        <w:pStyle w:val="5"/>
      </w:pPr>
      <w:r>
        <w:rPr>
          <w:rFonts w:ascii="Times New Roman" w:hAnsi="Times New Roman"/>
          <w:sz w:val="22"/>
        </w:rPr>
        <w:t>2.6 Synthesis of Challenges and Research Gaps</w:t>
      </w:r>
    </w:p>
    <w:p w14:paraId="45855A6D">
      <w:pPr>
        <w:jc w:val="both"/>
      </w:pPr>
      <w:r>
        <w:rPr>
          <w:rFonts w:ascii="Times New Roman" w:hAnsi="Times New Roman"/>
          <w:sz w:val="20"/>
        </w:rPr>
        <w:t>Despite remarkable progress, the integration of AI into finance presents profound challenges that delineate critical gaps in both research and practice. A primary concern is the "black box" problem and the related need for explainable AI (XAI). Many advanced models, particularly deep neural networks, operate in ways that are opaque even to their creators, raising significant issues for accountability, regulatory compliance, and user trust [Facebook, 2025]. When a credit application is denied or a trading algorithm fails, stakeholders require understandable explanations. Developing techniques that provide transparency without sacrificing model performance remains a paramount research challenge. Closely linked are algorithmic bias and fairness issues. AI systems can perpetuate or amplify historical biases present in their training data, leading to discriminatory outcomes in lending, insurance, and hiring within financial firms. Ensuring fairness and mitigating bias are not only ethical imperatives but also regulatory requirements and commercial necessities to maintain social license.</w:t>
      </w:r>
    </w:p>
    <w:p w14:paraId="2E16CFE1">
      <w:pPr>
        <w:jc w:val="both"/>
      </w:pPr>
      <w:r>
        <w:rPr>
          <w:rFonts w:ascii="Times New Roman" w:hAnsi="Times New Roman"/>
          <w:sz w:val="20"/>
        </w:rPr>
        <w:t>Data privacy and security constitute another major frontier. The efficacy of AI in finance is predicated on access to vast amounts of sensitive personal and transactional data. This creates tensions between innovation and the individual's right to privacy, governed by regulations like GDPR and CCPA. Research into privacy-preserving AI techniques, such as federated learning and homomorphic encryption, which allow model training on decentralized data without exposing raw information, is therefore of utmost importance [Humanities and Social Sciences Communications, 2025]. Furthermore, the concentration of AI capabilities and data among a few large tech firms and financial institutions risks creating systemic vulnerabilities. A flawed or compromised model deployed at scale could precipitate or amplify financial crises, representing a new category of systemic risk that existing regulatory frameworks are ill-equipped to handle [FSB, 2017; IOSCO, n.d.]. Finally, there is a significant gap in human-AI collaboration frameworks. The optimal division of labor between human judgment and algorithmic execution—especially in high-stakes, ambiguous, or ethically charged scenarios—is poorly understood. Future research must move beyond technical performance metrics to develop holistic frameworks that leverage the complementary strengths of human intuition and artificial intelligence, ensuring that the AI+Finance revolution enhances, rather than undermines, the stability, fairness, and efficacy of the global financial system.</w:t>
      </w:r>
    </w:p>
    <w:p w14:paraId="3CD76C15">
      <w:pPr>
        <w:pStyle w:val="4"/>
      </w:pPr>
      <w:r>
        <w:rPr>
          <w:rFonts w:ascii="Times New Roman" w:hAnsi="Times New Roman"/>
          <w:sz w:val="24"/>
        </w:rPr>
        <w:t>3. Current State Analysis</w:t>
      </w:r>
    </w:p>
    <w:p w14:paraId="22376B21">
      <w:pPr>
        <w:jc w:val="both"/>
      </w:pPr>
      <w:r>
        <w:rPr>
          <w:rFonts w:ascii="Times New Roman" w:hAnsi="Times New Roman"/>
          <w:sz w:val="20"/>
        </w:rPr>
        <w:t>The integration of artificial intelligence (AI) into the financial services sector represents a technological and strategic inflection point, fundamentally reshaping the industry's competitive landscape, operational paradigms, and value proposition. This analysis examines the current state of AI+Finance through a multidimensional lens, synthesizing market dynamics, technological adoption, competitive forces, and the underlying technical methodologies that collectively define this transformative era. The convergence of vast datasets, unprecedented computational power, and sophisticated algorithms has propelled AI from a peripheral innovation to a core strategic asset, driving efficiency, enabling hyper-personalization, and managing risk with a precision previously unattainable [OECD, 2021; FSB, 2017]. The current landscape is characterized not by speculative experimentation but by widespread, production-scale deployment across banking, capital markets, and insurance, signaling a mature phase of adoption where the focus is shifting from proof-of-concept to integration, scalability, and governance.</w:t>
      </w:r>
    </w:p>
    <w:p w14:paraId="743D08A5">
      <w:pPr>
        <w:jc w:val="both"/>
      </w:pPr>
      <w:r>
        <w:rPr>
          <w:rFonts w:ascii="Times New Roman" w:hAnsi="Times New Roman"/>
          <w:sz w:val="20"/>
        </w:rPr>
        <w:t>The market trajectory for AI in finance underscores its central economic importance. The global AI in Banking, Financial Services, and Insurance (BFSI) market, valued at USD 26.2 billion in 2024, is projected to expand at a compound annual growth rate (CAGR) of 22% through 2034, reflecting sustained and aggressive investment [GM Insights, n.d.]. This growth is a subset of the broader artificial intelligence market, which itself is forecast to surge from approximately USD 390.91 billion in 2025 to USD 3,497.26 billion by 2033, a CAGR of 30.6% [Grand View Research, n.d.]. Within finance, specialized segments are emerging with even more dynamic growth profiles; the market for autonomous AI agents in finance is forecast to grow from $1.96 billion in 2026 to $5.71 billion by 2034, indicating a move beyond foundational tools toward more advanced, self-directed systems [Fortune Business Insights, 2026]. Regional dominance is concentrated in technologically advanced economies, with Western Europe and North America leading in adoption and investment, exemplified by national markets such as the United Kingdom (estimated at USD 19.38 billion) and Germany (USD 14.96 billion) [The Business Research Company, n.d.]. This explosive growth is fueled by a clear value proposition: the relentless pursuit of operational efficiency, the critical imperative for real-time fraud detection and cybersecurity, and the rising consumer demand for personalized, accessible financial products [Citrusbug Technolabs, 2025; McKinsey &amp; Company, 2025].</w:t>
      </w:r>
    </w:p>
    <w:p w14:paraId="4465ADE6">
      <w:pPr>
        <w:jc w:val="center"/>
      </w:pPr>
      <w:r>
        <w:drawing>
          <wp:inline distT="0" distB="0" distL="114300" distR="114300">
            <wp:extent cx="4114800" cy="10747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14800" cy="10747612"/>
                    </a:xfrm>
                    <a:prstGeom prst="rect">
                      <a:avLst/>
                    </a:prstGeom>
                  </pic:spPr>
                </pic:pic>
              </a:graphicData>
            </a:graphic>
          </wp:inline>
        </w:drawing>
      </w:r>
    </w:p>
    <w:p w14:paraId="3D492825">
      <w:pPr>
        <w:jc w:val="center"/>
      </w:pPr>
      <w:r>
        <w:rPr>
          <w:rFonts w:ascii="Times New Roman" w:hAnsi="Times New Roman"/>
          <w:sz w:val="18"/>
        </w:rPr>
        <w:t>Figure 4. Market distribution (Source: Generated Pie Diagram)</w:t>
      </w:r>
    </w:p>
    <w:p w14:paraId="7EE2032E">
      <w:pPr>
        <w:jc w:val="both"/>
      </w:pPr>
      <w:r>
        <w:rPr>
          <w:rFonts w:ascii="Times New Roman" w:hAnsi="Times New Roman"/>
          <w:sz w:val="20"/>
        </w:rPr>
        <w:t>pie title AI in Finance Market Value by Key Application Area (Representative)</w:t>
      </w:r>
    </w:p>
    <w:p w14:paraId="0AB0CFD0">
      <w:pPr>
        <w:jc w:val="both"/>
      </w:pPr>
      <w:r>
        <w:rPr>
          <w:rFonts w:ascii="Times New Roman" w:hAnsi="Times New Roman"/>
          <w:sz w:val="20"/>
        </w:rPr>
        <w:t>"Algorithmic Trading &amp; Capital Markets": 35</w:t>
      </w:r>
    </w:p>
    <w:p w14:paraId="62904524">
      <w:pPr>
        <w:jc w:val="both"/>
      </w:pPr>
      <w:r>
        <w:rPr>
          <w:rFonts w:ascii="Times New Roman" w:hAnsi="Times New Roman"/>
          <w:sz w:val="20"/>
        </w:rPr>
        <w:t>"Fraud Detection &amp; Security": 25</w:t>
      </w:r>
    </w:p>
    <w:p w14:paraId="15C696E6">
      <w:pPr>
        <w:jc w:val="both"/>
      </w:pPr>
      <w:r>
        <w:rPr>
          <w:rFonts w:ascii="Times New Roman" w:hAnsi="Times New Roman"/>
          <w:sz w:val="20"/>
        </w:rPr>
        <w:t>"Process Automation &amp; Chatbots": 20</w:t>
      </w:r>
    </w:p>
    <w:p w14:paraId="4CEBA226">
      <w:pPr>
        <w:jc w:val="both"/>
      </w:pPr>
      <w:r>
        <w:rPr>
          <w:rFonts w:ascii="Times New Roman" w:hAnsi="Times New Roman"/>
          <w:sz w:val="20"/>
        </w:rPr>
        <w:t>"Credit Scoring &amp; Risk Management": 15</w:t>
      </w:r>
    </w:p>
    <w:p w14:paraId="1ED30A0D">
      <w:pPr>
        <w:jc w:val="both"/>
      </w:pPr>
      <w:r>
        <w:rPr>
          <w:rFonts w:ascii="Times New Roman" w:hAnsi="Times New Roman"/>
          <w:sz w:val="20"/>
        </w:rPr>
        <w:t>"Regulatory Compliance (RegTech)": 5</w:t>
      </w:r>
    </w:p>
    <w:p w14:paraId="20349FC3">
      <w:pPr>
        <w:jc w:val="both"/>
      </w:pPr>
      <w:r>
        <w:rPr>
          <w:rFonts w:ascii="Times New Roman" w:hAnsi="Times New Roman"/>
          <w:sz w:val="20"/>
        </w:rPr>
        <w:t>The competitive ecosystem driving this transformation is a powerful triad of technology enablers, incumbent financial institutions, and agile fintech startups. Leading technology firms—notably IBM, Microsoft, and Google—provide the essential cloud infrastructure, AI platforms, and research partnerships that form the technological bedrock for innovation [Emerald, n.d.]. These are not mere vendor relationships but deep strategic alliances; J.P. Morgan Chase’s partnership with IBM extends into quantum computing exploration, while Goldman Sachs collaborates with Microsoft on Azure and Azure Quantum for advanced research and prototyping [SSRN, 2025]. On the financial institution front, JPMorgan Chase is a preeminent leader, with over 300 AI use cases in production, spanning from its COIN platform for compliance analysis to IndexGPT for custom investment indices [Masood, 2025; Bold Generic Solutions, 2026]. Goldman Sachs, Bank of America, Citibank, and other global banks are making substantial, parallel investments, particularly in areas requiring high transparency to mitigate systemic algorithmic risks [Facebook, 2025; Dimension Market Research, 2034]. Complementing these giants, a vibrant ecosystem of specialized fintech startups focuses on discrete innovations in digital lending, payments, wealth management, and RegTech, often leveraging the cloud platforms of major tech firms to challenge traditional models and accelerate market-wide innovation [PubMed, n.d.; Databridge Market Research, 2032].</w:t>
      </w:r>
    </w:p>
    <w:p w14:paraId="30D4C666">
      <w:pPr>
        <w:jc w:val="both"/>
      </w:pPr>
      <w:r>
        <w:rPr>
          <w:rFonts w:ascii="Times New Roman" w:hAnsi="Times New Roman"/>
          <w:sz w:val="20"/>
        </w:rPr>
        <w:t>The technical foundation of this revolution is built upon three core AI methodologies: natural language processing (NLP), computer vision, and reinforcement learning. NLP has become indispensable for parsing the vast textual universe of finance, transforming unstructured data from news articles, earnings reports, and social media into actionable trading signals and risk insights [Singapore Natural Language Processing for Finance Market, n.d.; hasim pathan, n.d.]. Its applications range from sentiment analysis for predicting stock movements to powering intelligent chatbots and voice-activated banking services [Artificial Intelligence in Finance, n.d.; Indotectonic, n.d.]. Concurrently, computer vision automates the extraction of information from visual documents—invoices, contracts, identity documents, and complex reports—dramatically increasing back-office efficiency and accuracy in areas like Know Your Customer (KYC) processes. For dynamic, sequential decision-making, reinforcement learning (RL) offers a paradigm for developing adaptive trading and portfolio management strategies. RL agents learn optimal policies through interaction with simulated or real market environments, aiming to maximize a reward function such as risk-adjusted return [GeeksforGeeks, n.d.]. While promising for discovering non-intuitive strategies, its deployment is tempered by challenges including market non-stationarity and the risks of live exploration, necessitating robust simulation and oversight.</w:t>
      </w:r>
    </w:p>
    <w:p w14:paraId="36374AD9">
      <w:pPr>
        <w:jc w:val="both"/>
      </w:pPr>
      <w:r>
        <w:rPr>
          <w:rFonts w:ascii="Times New Roman" w:hAnsi="Times New Roman"/>
          <w:sz w:val="20"/>
        </w:rPr>
        <w:t>This technological ascent has a defined historical lineage, evolving from the rigid, rule-based expert systems of the 1980s, which automated tasks like credit scoring using static "if-then" logic [DualMedia Innovation News, n.d.; ResearchGate, 2024]. The 1990s and 2000s witnessed the rise of machine learning, which shifted the paradigm from programmed rules to learned patterns from growing digital datasets, enabling more sophisticated prediction and classification tasks [Medium, n.d.; Quinn, 2023]. The contemporary era, post-2010, is defined by the dominance of deep learning and big data, where complex neural networks analyze massive, heterogeneous datasets (including alternative data) to power the most advanced applications in algorithmic trading, personalized robo-advising, and real-time fraud detection. This evolution reflects a journey from automating human-defined logic to leveraging AI to discover insights and strategies beyond human cognitive limits.</w:t>
      </w:r>
    </w:p>
    <w:p w14:paraId="3D74972E">
      <w:pPr>
        <w:jc w:val="both"/>
      </w:pPr>
      <w:r>
        <w:rPr>
          <w:rFonts w:ascii="Times New Roman" w:hAnsi="Times New Roman"/>
          <w:sz w:val="20"/>
        </w:rPr>
        <w:t>The current state is thus one of entrenched adoption and escalating complexity. AI is no longer a novelty but a competitive necessity, deeply embedded in the value chains of leading financial institutions. The market is large and growing rapidly, propelled by a symbiotic relationship between tech providers, banks, and fintechs. The underlying technologies have matured from conceptual frameworks to production-grade tools solving real-world problems. However, this maturity brings forth the next set of critical challenges: ensuring model transparency and explainability, managing systemic risks posed by interconnected AI systems, navigating evolving regulatory landscapes, and addressing ethical concerns around data privacy and algorithmic bias [Humanities and Social Sciences Communications, 2025; Facebook, 2025]. The current state of AI+Finance, therefore, is a dynamic equilibrium of tremendous opportunity tempered by an increasing focus on governance, robustness, and responsible innovation.</w:t>
      </w:r>
    </w:p>
    <w:p w14:paraId="1BA805AA">
      <w:pPr>
        <w:pStyle w:val="5"/>
      </w:pPr>
      <w:r>
        <w:rPr>
          <w:rFonts w:ascii="Times New Roman" w:hAnsi="Times New Roman"/>
          <w:sz w:val="22"/>
        </w:rPr>
        <w:t>Table 1: Key Market Statistics and Projections for AI in Finance</w:t>
      </w:r>
    </w:p>
    <w:p w14:paraId="6C9B31EE">
      <w:pPr>
        <w:jc w:val="center"/>
      </w:pPr>
      <w:r>
        <w:rPr>
          <w:b/>
          <w:sz w:val="18"/>
        </w:rPr>
        <w:t>Table 1.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66EE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7DDFCC9">
            <w:pPr>
              <w:spacing w:after="0" w:line="240" w:lineRule="auto"/>
            </w:pPr>
            <w:r>
              <w:rPr>
                <w:rFonts w:ascii="Times New Roman" w:hAnsi="Times New Roman"/>
                <w:b/>
                <w:sz w:val="18"/>
              </w:rPr>
              <w:t>Metric</w:t>
            </w:r>
          </w:p>
        </w:tc>
        <w:tc>
          <w:tcPr>
            <w:tcW w:w="1560" w:type="dxa"/>
          </w:tcPr>
          <w:p w14:paraId="132326CE">
            <w:pPr>
              <w:spacing w:after="0" w:line="240" w:lineRule="auto"/>
            </w:pPr>
            <w:r>
              <w:rPr>
                <w:rFonts w:ascii="Times New Roman" w:hAnsi="Times New Roman"/>
                <w:b/>
                <w:sz w:val="18"/>
              </w:rPr>
              <w:t>Current Value / Base Year</w:t>
            </w:r>
          </w:p>
        </w:tc>
        <w:tc>
          <w:tcPr>
            <w:tcW w:w="1560" w:type="dxa"/>
          </w:tcPr>
          <w:p w14:paraId="74D2EDD0">
            <w:pPr>
              <w:spacing w:after="0" w:line="240" w:lineRule="auto"/>
            </w:pPr>
            <w:r>
              <w:rPr>
                <w:rFonts w:ascii="Times New Roman" w:hAnsi="Times New Roman"/>
                <w:b/>
                <w:sz w:val="18"/>
              </w:rPr>
              <w:t>Projected Value / Target Year</w:t>
            </w:r>
          </w:p>
        </w:tc>
        <w:tc>
          <w:tcPr>
            <w:tcW w:w="1560" w:type="dxa"/>
          </w:tcPr>
          <w:p w14:paraId="321DEA8A">
            <w:pPr>
              <w:spacing w:after="0" w:line="240" w:lineRule="auto"/>
            </w:pPr>
            <w:r>
              <w:rPr>
                <w:rFonts w:ascii="Times New Roman" w:hAnsi="Times New Roman"/>
                <w:b/>
                <w:sz w:val="18"/>
              </w:rPr>
              <w:t>Compound Annual Growth Rate (CAGR)</w:t>
            </w:r>
          </w:p>
        </w:tc>
        <w:tc>
          <w:tcPr>
            <w:tcW w:w="1560" w:type="dxa"/>
          </w:tcPr>
          <w:p w14:paraId="213A47C8">
            <w:pPr>
              <w:spacing w:after="0" w:line="240" w:lineRule="auto"/>
            </w:pPr>
            <w:r>
              <w:rPr>
                <w:rFonts w:ascii="Times New Roman" w:hAnsi="Times New Roman"/>
                <w:b/>
                <w:sz w:val="18"/>
              </w:rPr>
              <w:t>Key Focus Area</w:t>
            </w:r>
          </w:p>
        </w:tc>
        <w:tc>
          <w:tcPr>
            <w:tcW w:w="1560" w:type="dxa"/>
          </w:tcPr>
          <w:p w14:paraId="769033D7">
            <w:pPr>
              <w:spacing w:after="0" w:line="240" w:lineRule="auto"/>
            </w:pPr>
            <w:r>
              <w:rPr>
                <w:rFonts w:ascii="Times New Roman" w:hAnsi="Times New Roman"/>
                <w:b/>
                <w:sz w:val="18"/>
              </w:rPr>
              <w:t>Source</w:t>
            </w:r>
          </w:p>
        </w:tc>
      </w:tr>
      <w:tr w14:paraId="161E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42CA93D">
            <w:pPr>
              <w:spacing w:after="0" w:line="240" w:lineRule="auto"/>
            </w:pPr>
            <w:r>
              <w:rPr>
                <w:rFonts w:ascii="Times New Roman" w:hAnsi="Times New Roman"/>
                <w:sz w:val="18"/>
              </w:rPr>
              <w:t>AI in BFSI Market Size</w:t>
            </w:r>
          </w:p>
        </w:tc>
        <w:tc>
          <w:tcPr>
            <w:tcW w:w="1560" w:type="dxa"/>
          </w:tcPr>
          <w:p w14:paraId="741579A6">
            <w:pPr>
              <w:spacing w:after="0" w:line="240" w:lineRule="auto"/>
            </w:pPr>
            <w:r>
              <w:rPr>
                <w:rFonts w:ascii="Times New Roman" w:hAnsi="Times New Roman"/>
                <w:sz w:val="18"/>
              </w:rPr>
              <w:t>USD 26.2 Billion (2024)</w:t>
            </w:r>
          </w:p>
        </w:tc>
        <w:tc>
          <w:tcPr>
            <w:tcW w:w="1560" w:type="dxa"/>
          </w:tcPr>
          <w:p w14:paraId="0E493FDE">
            <w:pPr>
              <w:spacing w:after="0" w:line="240" w:lineRule="auto"/>
            </w:pPr>
            <w:r>
              <w:rPr>
                <w:rFonts w:ascii="Times New Roman" w:hAnsi="Times New Roman"/>
                <w:sz w:val="18"/>
              </w:rPr>
              <w:t>Forecast to 2034</w:t>
            </w:r>
          </w:p>
        </w:tc>
        <w:tc>
          <w:tcPr>
            <w:tcW w:w="1560" w:type="dxa"/>
          </w:tcPr>
          <w:p w14:paraId="03DBE662">
            <w:pPr>
              <w:spacing w:after="0" w:line="240" w:lineRule="auto"/>
            </w:pPr>
            <w:r>
              <w:rPr>
                <w:rFonts w:ascii="Times New Roman" w:hAnsi="Times New Roman"/>
                <w:sz w:val="18"/>
              </w:rPr>
              <w:t>22% (2025-2034)</w:t>
            </w:r>
          </w:p>
        </w:tc>
        <w:tc>
          <w:tcPr>
            <w:tcW w:w="1560" w:type="dxa"/>
          </w:tcPr>
          <w:p w14:paraId="1E321D7B">
            <w:pPr>
              <w:spacing w:after="0" w:line="240" w:lineRule="auto"/>
            </w:pPr>
            <w:r>
              <w:rPr>
                <w:rFonts w:ascii="Times New Roman" w:hAnsi="Times New Roman"/>
                <w:sz w:val="18"/>
              </w:rPr>
              <w:t>Banking, Financial Services, Insurance</w:t>
            </w:r>
          </w:p>
        </w:tc>
        <w:tc>
          <w:tcPr>
            <w:tcW w:w="1560" w:type="dxa"/>
          </w:tcPr>
          <w:p w14:paraId="2A189211">
            <w:pPr>
              <w:spacing w:after="0" w:line="240" w:lineRule="auto"/>
            </w:pPr>
            <w:r>
              <w:rPr>
                <w:rFonts w:ascii="Times New Roman" w:hAnsi="Times New Roman"/>
                <w:sz w:val="18"/>
              </w:rPr>
              <w:t>GM Insights, n.d.</w:t>
            </w:r>
          </w:p>
        </w:tc>
      </w:tr>
      <w:tr w14:paraId="7768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48CF543">
            <w:pPr>
              <w:spacing w:after="0" w:line="240" w:lineRule="auto"/>
            </w:pPr>
            <w:r>
              <w:rPr>
                <w:rFonts w:ascii="Times New Roman" w:hAnsi="Times New Roman"/>
                <w:sz w:val="18"/>
              </w:rPr>
              <w:t>Global AI Market Size</w:t>
            </w:r>
          </w:p>
        </w:tc>
        <w:tc>
          <w:tcPr>
            <w:tcW w:w="1560" w:type="dxa"/>
          </w:tcPr>
          <w:p w14:paraId="661DB91B">
            <w:pPr>
              <w:spacing w:after="0" w:line="240" w:lineRule="auto"/>
            </w:pPr>
            <w:r>
              <w:rPr>
                <w:rFonts w:ascii="Times New Roman" w:hAnsi="Times New Roman"/>
                <w:sz w:val="18"/>
              </w:rPr>
              <w:t>USD 390.91 Billion (2025)</w:t>
            </w:r>
          </w:p>
        </w:tc>
        <w:tc>
          <w:tcPr>
            <w:tcW w:w="1560" w:type="dxa"/>
          </w:tcPr>
          <w:p w14:paraId="44559A67">
            <w:pPr>
              <w:spacing w:after="0" w:line="240" w:lineRule="auto"/>
            </w:pPr>
            <w:r>
              <w:rPr>
                <w:rFonts w:ascii="Times New Roman" w:hAnsi="Times New Roman"/>
                <w:sz w:val="18"/>
              </w:rPr>
              <w:t>USD 3,497.26 Billion (2033)</w:t>
            </w:r>
          </w:p>
        </w:tc>
        <w:tc>
          <w:tcPr>
            <w:tcW w:w="1560" w:type="dxa"/>
          </w:tcPr>
          <w:p w14:paraId="44377CEC">
            <w:pPr>
              <w:spacing w:after="0" w:line="240" w:lineRule="auto"/>
            </w:pPr>
            <w:r>
              <w:rPr>
                <w:rFonts w:ascii="Times New Roman" w:hAnsi="Times New Roman"/>
                <w:sz w:val="18"/>
              </w:rPr>
              <w:t>30.6% (2026-2033)</w:t>
            </w:r>
          </w:p>
        </w:tc>
        <w:tc>
          <w:tcPr>
            <w:tcW w:w="1560" w:type="dxa"/>
          </w:tcPr>
          <w:p w14:paraId="56BD03B1">
            <w:pPr>
              <w:spacing w:after="0" w:line="240" w:lineRule="auto"/>
            </w:pPr>
            <w:r>
              <w:rPr>
                <w:rFonts w:ascii="Times New Roman" w:hAnsi="Times New Roman"/>
                <w:sz w:val="18"/>
              </w:rPr>
              <w:t>Overall AI Industry</w:t>
            </w:r>
          </w:p>
        </w:tc>
        <w:tc>
          <w:tcPr>
            <w:tcW w:w="1560" w:type="dxa"/>
          </w:tcPr>
          <w:p w14:paraId="0B702D06">
            <w:pPr>
              <w:spacing w:after="0" w:line="240" w:lineRule="auto"/>
            </w:pPr>
            <w:r>
              <w:rPr>
                <w:rFonts w:ascii="Times New Roman" w:hAnsi="Times New Roman"/>
                <w:sz w:val="18"/>
              </w:rPr>
              <w:t>Grand View Research, n.d.</w:t>
            </w:r>
          </w:p>
        </w:tc>
      </w:tr>
      <w:tr w14:paraId="3E0B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F6D5252">
            <w:pPr>
              <w:spacing w:after="0" w:line="240" w:lineRule="auto"/>
            </w:pPr>
            <w:r>
              <w:rPr>
                <w:rFonts w:ascii="Times New Roman" w:hAnsi="Times New Roman"/>
                <w:sz w:val="18"/>
              </w:rPr>
              <w:t>AI Agents in Finance Market</w:t>
            </w:r>
          </w:p>
        </w:tc>
        <w:tc>
          <w:tcPr>
            <w:tcW w:w="1560" w:type="dxa"/>
          </w:tcPr>
          <w:p w14:paraId="2B3A5776">
            <w:pPr>
              <w:spacing w:after="0" w:line="240" w:lineRule="auto"/>
            </w:pPr>
            <w:r>
              <w:rPr>
                <w:rFonts w:ascii="Times New Roman" w:hAnsi="Times New Roman"/>
                <w:sz w:val="18"/>
              </w:rPr>
              <w:t>USD 1.96 Billion (2026)</w:t>
            </w:r>
          </w:p>
        </w:tc>
        <w:tc>
          <w:tcPr>
            <w:tcW w:w="1560" w:type="dxa"/>
          </w:tcPr>
          <w:p w14:paraId="7E1C123F">
            <w:pPr>
              <w:spacing w:after="0" w:line="240" w:lineRule="auto"/>
            </w:pPr>
            <w:r>
              <w:rPr>
                <w:rFonts w:ascii="Times New Roman" w:hAnsi="Times New Roman"/>
                <w:sz w:val="18"/>
              </w:rPr>
              <w:t>USD 5.71 Billion (2034)</w:t>
            </w:r>
          </w:p>
        </w:tc>
        <w:tc>
          <w:tcPr>
            <w:tcW w:w="1560" w:type="dxa"/>
          </w:tcPr>
          <w:p w14:paraId="16CAF89C">
            <w:pPr>
              <w:spacing w:after="0" w:line="240" w:lineRule="auto"/>
            </w:pPr>
            <w:r>
              <w:rPr>
                <w:rFonts w:ascii="Times New Roman" w:hAnsi="Times New Roman"/>
                <w:sz w:val="18"/>
              </w:rPr>
              <w:t>14.30% (2026-2034)</w:t>
            </w:r>
          </w:p>
        </w:tc>
        <w:tc>
          <w:tcPr>
            <w:tcW w:w="1560" w:type="dxa"/>
          </w:tcPr>
          <w:p w14:paraId="47A13045">
            <w:pPr>
              <w:spacing w:after="0" w:line="240" w:lineRule="auto"/>
            </w:pPr>
            <w:r>
              <w:rPr>
                <w:rFonts w:ascii="Times New Roman" w:hAnsi="Times New Roman"/>
                <w:sz w:val="18"/>
              </w:rPr>
              <w:t>Autonomous Decision-Making Agents</w:t>
            </w:r>
          </w:p>
        </w:tc>
        <w:tc>
          <w:tcPr>
            <w:tcW w:w="1560" w:type="dxa"/>
          </w:tcPr>
          <w:p w14:paraId="719CE28E">
            <w:pPr>
              <w:spacing w:after="0" w:line="240" w:lineRule="auto"/>
            </w:pPr>
            <w:r>
              <w:rPr>
                <w:rFonts w:ascii="Times New Roman" w:hAnsi="Times New Roman"/>
                <w:sz w:val="18"/>
              </w:rPr>
              <w:t>Fortune Business Insights, 2026</w:t>
            </w:r>
          </w:p>
        </w:tc>
      </w:tr>
      <w:tr w14:paraId="2A0F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5350373">
            <w:pPr>
              <w:spacing w:after="0" w:line="240" w:lineRule="auto"/>
            </w:pPr>
            <w:r>
              <w:rPr>
                <w:rFonts w:ascii="Times New Roman" w:hAnsi="Times New Roman"/>
                <w:sz w:val="18"/>
              </w:rPr>
              <w:t>Financial Services Market (Leading Region)</w:t>
            </w:r>
          </w:p>
        </w:tc>
        <w:tc>
          <w:tcPr>
            <w:tcW w:w="1560" w:type="dxa"/>
          </w:tcPr>
          <w:p w14:paraId="4829B42E">
            <w:pPr>
              <w:spacing w:after="0" w:line="240" w:lineRule="auto"/>
            </w:pPr>
            <w:r>
              <w:rPr>
                <w:rFonts w:ascii="Times New Roman" w:hAnsi="Times New Roman"/>
                <w:sz w:val="18"/>
              </w:rPr>
              <w:t>Western Europe (Largest in 2024)</w:t>
            </w:r>
          </w:p>
        </w:tc>
        <w:tc>
          <w:tcPr>
            <w:tcW w:w="1560" w:type="dxa"/>
          </w:tcPr>
          <w:p w14:paraId="27606BA9">
            <w:pPr>
              <w:spacing w:after="0" w:line="240" w:lineRule="auto"/>
            </w:pPr>
            <w:r>
              <w:rPr>
                <w:rFonts w:ascii="Times New Roman" w:hAnsi="Times New Roman"/>
                <w:sz w:val="18"/>
              </w:rPr>
              <w:t>Analysis to 2035</w:t>
            </w:r>
          </w:p>
        </w:tc>
        <w:tc>
          <w:tcPr>
            <w:tcW w:w="1560" w:type="dxa"/>
          </w:tcPr>
          <w:p w14:paraId="65757FB1">
            <w:pPr>
              <w:spacing w:after="0" w:line="240" w:lineRule="auto"/>
            </w:pPr>
            <w:r>
              <w:rPr>
                <w:rFonts w:ascii="Times New Roman" w:hAnsi="Times New Roman"/>
                <w:sz w:val="18"/>
              </w:rPr>
              <w:t>N/A</w:t>
            </w:r>
          </w:p>
        </w:tc>
        <w:tc>
          <w:tcPr>
            <w:tcW w:w="1560" w:type="dxa"/>
          </w:tcPr>
          <w:p w14:paraId="441907FB">
            <w:pPr>
              <w:spacing w:after="0" w:line="240" w:lineRule="auto"/>
            </w:pPr>
            <w:r>
              <w:rPr>
                <w:rFonts w:ascii="Times New Roman" w:hAnsi="Times New Roman"/>
                <w:sz w:val="18"/>
              </w:rPr>
              <w:t>Overall Financial Services Sector</w:t>
            </w:r>
          </w:p>
        </w:tc>
        <w:tc>
          <w:tcPr>
            <w:tcW w:w="1560" w:type="dxa"/>
          </w:tcPr>
          <w:p w14:paraId="04421E32">
            <w:pPr>
              <w:spacing w:after="0" w:line="240" w:lineRule="auto"/>
            </w:pPr>
            <w:r>
              <w:rPr>
                <w:rFonts w:ascii="Times New Roman" w:hAnsi="Times New Roman"/>
                <w:sz w:val="18"/>
              </w:rPr>
              <w:t>The Business Research Company, n.d.</w:t>
            </w:r>
          </w:p>
        </w:tc>
      </w:tr>
      <w:tr w14:paraId="3984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936C1CF">
            <w:pPr>
              <w:spacing w:after="0" w:line="240" w:lineRule="auto"/>
            </w:pPr>
            <w:r>
              <w:rPr>
                <w:rFonts w:ascii="Times New Roman" w:hAnsi="Times New Roman"/>
                <w:sz w:val="18"/>
              </w:rPr>
              <w:t>Representative National Market (UK)</w:t>
            </w:r>
          </w:p>
        </w:tc>
        <w:tc>
          <w:tcPr>
            <w:tcW w:w="1560" w:type="dxa"/>
          </w:tcPr>
          <w:p w14:paraId="788D7D09">
            <w:pPr>
              <w:spacing w:after="0" w:line="240" w:lineRule="auto"/>
            </w:pPr>
            <w:r>
              <w:rPr>
                <w:rFonts w:ascii="Times New Roman" w:hAnsi="Times New Roman"/>
                <w:sz w:val="18"/>
              </w:rPr>
              <w:t>USD 19.38 Billion (2024)</w:t>
            </w:r>
          </w:p>
        </w:tc>
        <w:tc>
          <w:tcPr>
            <w:tcW w:w="1560" w:type="dxa"/>
          </w:tcPr>
          <w:p w14:paraId="600BEE01">
            <w:pPr>
              <w:spacing w:after="0" w:line="240" w:lineRule="auto"/>
            </w:pPr>
            <w:r>
              <w:rPr>
                <w:rFonts w:ascii="Times New Roman" w:hAnsi="Times New Roman"/>
                <w:sz w:val="18"/>
              </w:rPr>
              <w:t>N/A</w:t>
            </w:r>
          </w:p>
        </w:tc>
        <w:tc>
          <w:tcPr>
            <w:tcW w:w="1560" w:type="dxa"/>
          </w:tcPr>
          <w:p w14:paraId="2F162EC4">
            <w:pPr>
              <w:spacing w:after="0" w:line="240" w:lineRule="auto"/>
            </w:pPr>
            <w:r>
              <w:rPr>
                <w:rFonts w:ascii="Times New Roman" w:hAnsi="Times New Roman"/>
                <w:sz w:val="18"/>
              </w:rPr>
              <w:t>N/A</w:t>
            </w:r>
          </w:p>
        </w:tc>
        <w:tc>
          <w:tcPr>
            <w:tcW w:w="1560" w:type="dxa"/>
          </w:tcPr>
          <w:p w14:paraId="4431D7C6">
            <w:pPr>
              <w:spacing w:after="0" w:line="240" w:lineRule="auto"/>
            </w:pPr>
            <w:r>
              <w:rPr>
                <w:rFonts w:ascii="Times New Roman" w:hAnsi="Times New Roman"/>
                <w:sz w:val="18"/>
              </w:rPr>
              <w:t>Financial Services Activity</w:t>
            </w:r>
          </w:p>
        </w:tc>
        <w:tc>
          <w:tcPr>
            <w:tcW w:w="1560" w:type="dxa"/>
          </w:tcPr>
          <w:p w14:paraId="2768B629">
            <w:pPr>
              <w:spacing w:after="0" w:line="240" w:lineRule="auto"/>
            </w:pPr>
            <w:r>
              <w:rPr>
                <w:rFonts w:ascii="Times New Roman" w:hAnsi="Times New Roman"/>
                <w:sz w:val="18"/>
              </w:rPr>
              <w:t>The Business Research Company, n.d.</w:t>
            </w:r>
          </w:p>
        </w:tc>
      </w:tr>
    </w:tbl>
    <w:p w14:paraId="6DE79F43"/>
    <w:p w14:paraId="712D6CCE">
      <w:pPr>
        <w:pStyle w:val="4"/>
      </w:pPr>
      <w:r>
        <w:rPr>
          <w:rFonts w:ascii="Times New Roman" w:hAnsi="Times New Roman"/>
          <w:sz w:val="24"/>
        </w:rPr>
        <w:t>4. Technical Analysis</w:t>
      </w:r>
    </w:p>
    <w:p w14:paraId="270F7E8B">
      <w:pPr>
        <w:jc w:val="both"/>
      </w:pPr>
      <w:r>
        <w:rPr>
          <w:rFonts w:ascii="Times New Roman" w:hAnsi="Times New Roman"/>
          <w:sz w:val="20"/>
        </w:rPr>
        <w:t>The technical architecture underpinning the integration of artificial intelligence (AI) into the financial sector is a complex, multi-layered ecosystem designed to transform vast, heterogeneous data streams into actionable intelligence, automated decisions, and innovative services. This technical foundation is not monolithic but is instead characterized by the strategic convergence of distinct methodologies—machine learning (ML), natural language processing (NLP), computer vision, and reinforcement learning (RL)—each optimized for specific financial functions. The evolution from the rigid, rule-based expert systems of the 1980s to today's adaptive, data-driven models represents a fundamental shift in computational finance [DualMedia Innovation News, n.d.]. Early systems automated predefined logic for tasks like credit assessment, but their brittleness in novel scenarios highlighted the need for learning capabilities [ResearchGate, 2024]. The subsequent adoption of ML algorithms enabled the discovery of complex, non-linear patterns within growing datasets, paving the way for predictive analytics in trading and risk management [Medium, n.d.]. The contemporary landscape is defined by deep learning architectures and large language models (LLMs) that process unstructured text, images, and sequential market data with unprecedented sophistication. This technical analysis will deconstruct the core methodologies, illustrate the typical system architecture that orchestrates them, and examine the key technological components and their interrelationships that define the modern AI+Finance stack.</w:t>
      </w:r>
    </w:p>
    <w:p w14:paraId="7E7A3FED">
      <w:pPr>
        <w:pStyle w:val="5"/>
      </w:pPr>
      <w:r>
        <w:rPr>
          <w:rFonts w:ascii="Times New Roman" w:hAnsi="Times New Roman"/>
          <w:sz w:val="22"/>
        </w:rPr>
        <w:t>4.1 Core Methodologies and Algorithms</w:t>
      </w:r>
    </w:p>
    <w:p w14:paraId="11045890">
      <w:pPr>
        <w:jc w:val="both"/>
      </w:pPr>
      <w:r>
        <w:rPr>
          <w:rFonts w:ascii="Times New Roman" w:hAnsi="Times New Roman"/>
          <w:sz w:val="20"/>
        </w:rPr>
        <w:t>The efficacy of AI in finance is rooted in the application of specific algorithmic families, each suited to particular data types and business objectives. At the broadest level, supervised learning remains a cornerstone, where models are trained on historical, labeled data to make predictions or classifications. This underpins a vast array of applications, from credit scoring models that assess default risk using alternative data sources like utility payments or mobile usage patterns, to fraud detection systems that learn to distinguish legitimate from anomalous transactions based on past examples [AESS Publications, 2025; Articsledge, 2025]. These models, including gradient-boosted trees (e.g., XGBoost) and deep neural networks, excel at finding intricate correlations within structured numerical and categorical data. However, the financial domain's complexity often requires moving beyond static prediction to dynamic interaction and understanding of unstructured information, which is where NLP, computer vision, and RL come to the fore.</w:t>
      </w:r>
    </w:p>
    <w:p w14:paraId="2D870661">
      <w:pPr>
        <w:jc w:val="both"/>
      </w:pPr>
      <w:r>
        <w:rPr>
          <w:rFonts w:ascii="Times New Roman" w:hAnsi="Times New Roman"/>
          <w:sz w:val="20"/>
        </w:rPr>
        <w:t>Natural Language Processing (NLP) has become indispensable for converting the immense volume of qualitative, textual data into quantitative signals. Fundamentally, NLP involves the computational understanding and generation of human language, with tasks ranging from sentiment analysis and named entity recognition to more complex question-answering [Wikipedia, n.d.]. In finance, specialized NLP algorithms analyze news wire feeds, earnings call transcripts, regulatory filings (e.g., 10-K reports), and social media discourse to gauge market sentiment, assess corporate health, and identify emerging risks [Singapore Natural Language Processing for Finance Market, n.d.; hasim pathan, n.d.]. The advent of large language models (LLMs) like GPT has significantly advanced this field, enabling more nuanced understanding and summarization of financial documents. However, research indicates that general-purpose LLMs often require fine-tuning on domain-specific financial corpora to achieve high accuracy in tasks like sentiment analysis or event extraction, as the language of finance contains unique jargon and contextual dependencies [ResearchGate, 2024]. Beyond market analysis, NLP powers conversational AI for customer service, enabling voice-activated transactions and intelligent query resolution, as seen in systems developed by institutions like Barclays [Artificial Intelligence in Finance, n.d.].</w:t>
      </w:r>
    </w:p>
    <w:p w14:paraId="2621858F">
      <w:pPr>
        <w:jc w:val="both"/>
      </w:pPr>
      <w:r>
        <w:rPr>
          <w:rFonts w:ascii="Times New Roman" w:hAnsi="Times New Roman"/>
          <w:sz w:val="20"/>
        </w:rPr>
        <w:t>In parallel, computer vision automates the extraction of information from visual financial documents, a task traditionally requiring massive manual labor. This technology employs convolutional neural networks (CNNs) and other architectures to "read" and interpret images. Primary applications include automated processing of invoices, loan applications, and claim forms; check and handwriting recognition for deposits; and identity verification through facial recognition and document authentication for Know Your Customer (KYC) compliance. The synergy between computer vision and NLP is particularly powerful in intelligent document processing (IDP) platforms. Such a system first uses computer vision to identify the layout, fields, and tables within a scanned document (e.g., a bank statement) and then employs NLP to comprehend and extract the textual and numerical content within those regions. This end-to-end automation drastically reduces operational costs, accelerates processing times from days to minutes, and minimizes human error, allowing staff to focus on exception handling and complex cases.</w:t>
      </w:r>
    </w:p>
    <w:p w14:paraId="4052B12D">
      <w:pPr>
        <w:jc w:val="both"/>
      </w:pPr>
      <w:r>
        <w:rPr>
          <w:rFonts w:ascii="Times New Roman" w:hAnsi="Times New Roman"/>
          <w:sz w:val="20"/>
        </w:rPr>
        <w:t>For sequential decision-making in dynamic, uncertain environments like financial markets, reinforcement learning (RL) offers a paradigm distinct from supervised learning. An RL agent learns by interacting with an environment—often a market simulator—taking actions (e.g., buy, sell, hold) and receiving rewards (e.g., profit, risk-adjusted return) or penalties. Through trial and error, it learns a policy that maximizes cumulative reward over time. This methodology is particularly promising for developing adaptive trading strategies, optimal trade execution algorithms (to minimize market impact), and dynamic portfolio allocation systems. RL agents can integrate multi-modal state information, including real-time price feeds, order book dynamics, and sentiment indices from NLP systems, to make complex, multi-step decisions. However, deploying RL in live markets presents formidable challenges, including the non-stationary nature of financial data (where past patterns may not repeat), the high cost of exploration with real capital, and the risk of the agent learning strategies that are overfitted or that exploit simulation artifacts. Consequently, robust validation, stringent risk constraints embedded in the reward function, and continuous monitoring are critical for any production RL system [GeeksforGeeks, n.d.].</w:t>
      </w:r>
    </w:p>
    <w:p w14:paraId="66241497">
      <w:pPr>
        <w:pStyle w:val="5"/>
      </w:pPr>
      <w:r>
        <w:rPr>
          <w:rFonts w:ascii="Times New Roman" w:hAnsi="Times New Roman"/>
          <w:sz w:val="22"/>
        </w:rPr>
        <w:t>4.2 System Architecture and Data Flow</w:t>
      </w:r>
    </w:p>
    <w:p w14:paraId="452DE817">
      <w:pPr>
        <w:jc w:val="both"/>
      </w:pPr>
      <w:r>
        <w:rPr>
          <w:rFonts w:ascii="Times New Roman" w:hAnsi="Times New Roman"/>
          <w:sz w:val="20"/>
        </w:rPr>
        <w:t>The deployment of these methodologies in a scalable, reliable, and secure manner requires a coherent system architecture. A representative high-level architecture for an AI-driven financial platform, such as a robo-advisor or a quantitative trading firm, follows a layered, data-centric design. The flow begins with Data Ingestion and Integration, where heterogeneous data streams are continuously collected. This includes structured data from internal core banking systems and market data providers (e.g., Bloomberg, Refinitiv), semi-structured data like JSON/XML feeds from APIs, and unstructured data from news sources, social media, and scanned documents. This stage often utilizes distributed messaging queues (e.g., Apache Kafka) and cloud-based data pipelines (e.g., AWS Glue, Azure Data Factory) to handle high velocity and volume.</w:t>
      </w:r>
    </w:p>
    <w:p w14:paraId="0393384F">
      <w:pPr>
        <w:jc w:val="both"/>
      </w:pPr>
      <w:r>
        <w:rPr>
          <w:rFonts w:ascii="Times New Roman" w:hAnsi="Times New Roman"/>
          <w:sz w:val="20"/>
        </w:rPr>
        <w:t>The raw data then progresses to the Data Processing and Storage Layer. Here, data is cleansed, normalized, and transformed. Unstructured text undergoes NLP preprocessing (tokenization, lemmatization), while images are processed through computer vision pipelines. Processed data is stored in a variety of repositories optimized for different access patterns: low-latency time-series databases (e.g., KDB+, InfluxDB) for market tick data, data lakes (e.g., on Amazon S3 or Azure Data Lake) for raw unstructured data, and traditional data warehouses or modern cloud-based platforms (e.g., Snowflake, Google BigQuery) for structured feature stores. The Feature Store is a critical component, acting as a centralized repository for curated, model-ready features (e.g., 30-day price volatility, sentiment score from yesterday's news) that ensure consistency between model training and serving.</w:t>
      </w:r>
    </w:p>
    <w:p w14:paraId="412ADD6A">
      <w:pPr>
        <w:jc w:val="both"/>
      </w:pPr>
      <w:r>
        <w:rPr>
          <w:rFonts w:ascii="Times New Roman" w:hAnsi="Times New Roman"/>
          <w:sz w:val="20"/>
        </w:rPr>
        <w:t>The core intelligence resides in the AI/ML Modeling and Serving Layer. This is where machine learning models are developed, trained, validated, and deployed. The workflow typically involves data scientists working in experimentation platforms (e.g., MLflow, Kubeflow) to train models using historical data. Successful models are then packaged and deployed as microservices within a model serving infrastructure (e.g., TensorFlow Serving, Seldon Core) or integrated directly into application code. For real-time applications like algorithmic trading or fraud detection, models must provide inferences with millisecond latency, necessitating optimized serving engines and potentially hardware acceleration (e.g., GPUs, TPUs). Batch processes, such as end-of-day portfolio rebalancing or credit score updates, run on scheduled pipelines.</w:t>
      </w:r>
    </w:p>
    <w:p w14:paraId="5ECC6A83">
      <w:pPr>
        <w:jc w:val="both"/>
      </w:pPr>
      <w:r>
        <w:rPr>
          <w:rFonts w:ascii="Times New Roman" w:hAnsi="Times New Roman"/>
          <w:sz w:val="20"/>
        </w:rPr>
        <w:t>Finally, the Application and Orchestration Layer consumes the model inferences to drive business actions. This could be a trading execution engine that places orders based on RL agent signals, a customer-facing mobile app that displays a robo-advisor's portfolio recommendation, or a compliance dashboard that flags suspicious transactions identified by an anomaly detection model. An Orchestration and Monitoring framework (using tools like Apache Airflow or Kubernetes operators) manages the entire pipeline's scheduling, dependencies, and failure recovery. Crucially, this layer also includes continuous monitoring of model performance (e.g., prediction drift, accuracy decay) and business metrics, triggering alerts for model retraining when necessary.</w:t>
      </w:r>
    </w:p>
    <w:p w14:paraId="436A3E56">
      <w:pPr>
        <w:jc w:val="both"/>
      </w:pPr>
      <w:r>
        <w:rPr>
          <w:rFonts w:ascii="Times New Roman" w:hAnsi="Times New Roman"/>
          <w:sz w:val="20"/>
        </w:rPr>
        <w:t>flowchart TD</w:t>
      </w:r>
    </w:p>
    <w:p w14:paraId="54808B77">
      <w:pPr>
        <w:jc w:val="both"/>
      </w:pPr>
      <w:r>
        <w:rPr>
          <w:rFonts w:ascii="Times New Roman" w:hAnsi="Times New Roman"/>
          <w:sz w:val="20"/>
        </w:rPr>
        <w:t>A[Data Sources&lt;br&gt;Market Feeds, News, Internal Systems] --&gt; B[Data Ingestion Layer&lt;br&gt;Kafka/Event Hubs]</w:t>
      </w:r>
    </w:p>
    <w:p w14:paraId="6B946749">
      <w:pPr>
        <w:jc w:val="both"/>
      </w:pPr>
      <w:r>
        <w:rPr>
          <w:rFonts w:ascii="Times New Roman" w:hAnsi="Times New Roman"/>
          <w:sz w:val="20"/>
        </w:rPr>
        <w:t>B --&gt; C[Processing &amp; Storage&lt;br&gt;Data Lake, Feature Store]</w:t>
      </w:r>
    </w:p>
    <w:p w14:paraId="220D63FC">
      <w:pPr>
        <w:jc w:val="both"/>
      </w:pPr>
      <w:r>
        <w:rPr>
          <w:rFonts w:ascii="Times New Roman" w:hAnsi="Times New Roman"/>
          <w:sz w:val="20"/>
        </w:rPr>
        <w:t>C --&gt; D[AI/ML Layer&lt;br&gt;Training &amp; Model Serving]</w:t>
      </w:r>
    </w:p>
    <w:p w14:paraId="2CD94C80">
      <w:pPr>
        <w:jc w:val="both"/>
      </w:pPr>
      <w:r>
        <w:rPr>
          <w:rFonts w:ascii="Times New Roman" w:hAnsi="Times New Roman"/>
          <w:sz w:val="20"/>
        </w:rPr>
        <w:t>D --&gt; E[Application Layer&lt;br&gt;Trading Engine, Client App]</w:t>
      </w:r>
    </w:p>
    <w:p w14:paraId="1BFCDDD3">
      <w:pPr>
        <w:jc w:val="both"/>
      </w:pPr>
      <w:r>
        <w:rPr>
          <w:rFonts w:ascii="Times New Roman" w:hAnsi="Times New Roman"/>
          <w:sz w:val="20"/>
        </w:rPr>
        <w:t>E --&gt; F[Actions &amp; Decisions&lt;br&gt;Trades, Alerts, Reports]</w:t>
      </w:r>
    </w:p>
    <w:p w14:paraId="0BD1DFBF">
      <w:pPr>
        <w:jc w:val="both"/>
      </w:pPr>
      <w:r>
        <w:rPr>
          <w:rFonts w:ascii="Times New Roman" w:hAnsi="Times New Roman"/>
          <w:sz w:val="20"/>
        </w:rPr>
        <w:t>B --&gt; G[Orchestration &amp; Monitoring&lt;br&gt;Airflow, MLflow, Prometheus]</w:t>
      </w:r>
    </w:p>
    <w:p w14:paraId="374FCF2D">
      <w:pPr>
        <w:jc w:val="both"/>
      </w:pPr>
      <w:r>
        <w:rPr>
          <w:rFonts w:ascii="Times New Roman" w:hAnsi="Times New Roman"/>
          <w:sz w:val="20"/>
        </w:rPr>
        <w:t>C --&gt; G</w:t>
      </w:r>
    </w:p>
    <w:p w14:paraId="68444AC6">
      <w:pPr>
        <w:jc w:val="both"/>
      </w:pPr>
      <w:r>
        <w:rPr>
          <w:rFonts w:ascii="Times New Roman" w:hAnsi="Times New Roman"/>
          <w:sz w:val="20"/>
        </w:rPr>
        <w:t>D --&gt; G</w:t>
      </w:r>
    </w:p>
    <w:p w14:paraId="4FA80A14">
      <w:pPr>
        <w:jc w:val="both"/>
      </w:pPr>
      <w:r>
        <w:rPr>
          <w:rFonts w:ascii="Times New Roman" w:hAnsi="Times New Roman"/>
          <w:sz w:val="20"/>
        </w:rPr>
        <w:t>E --&gt; G</w:t>
      </w:r>
    </w:p>
    <w:p w14:paraId="76007799">
      <w:pPr>
        <w:pStyle w:val="5"/>
      </w:pPr>
      <w:r>
        <w:rPr>
          <w:rFonts w:ascii="Times New Roman" w:hAnsi="Times New Roman"/>
          <w:sz w:val="22"/>
        </w:rPr>
        <w:t>4.3 Key Technological Components and Their Interrelationships</w:t>
      </w:r>
    </w:p>
    <w:p w14:paraId="51DE54D7">
      <w:pPr>
        <w:jc w:val="both"/>
      </w:pPr>
      <w:r>
        <w:rPr>
          <w:rFonts w:ascii="Times New Roman" w:hAnsi="Times New Roman"/>
          <w:sz w:val="20"/>
        </w:rPr>
        <w:t>The functionality of the architecture described above is realized through a stack of interconnected technological components. Understanding their relationships is key to appreciating the system's robustness and flexibility. At the Infrastructure Foundation, cloud platforms (AWS, Google Cloud, Microsoft Azure) are nearly ubiquitous, providing scalable compute, storage, and managed AI services. They offer not only raw resources but also specialized financial services clouds with built-in compliance and security controls, which are vital for regulated institutions. Containerization (Docker) and orchestration (Kubernetes) provide the environment for deploying and scaling the microservices that constitute the AI pipeline, ensuring consistency from development to production.</w:t>
      </w:r>
    </w:p>
    <w:p w14:paraId="42D32F30">
      <w:pPr>
        <w:jc w:val="both"/>
      </w:pPr>
      <w:r>
        <w:rPr>
          <w:rFonts w:ascii="Times New Roman" w:hAnsi="Times New Roman"/>
          <w:sz w:val="20"/>
        </w:rPr>
        <w:t>The Data Management components have a symbiotic relationship with the AI/ML Frameworks. The choice of data store influences feature engineering and model training. For instance, time-series databases efficiently serve sequential data to recurrent neural networks (RNNs) or transformers used in price forecasting, while graph databases are increasingly used to model relationships between entities (e.g., counterparties in a fraud network) for graph neural network (GNN) analysis. The AI frameworks themselves, such as TensorFlow, PyTorch, and Scikit-learn, provide the libraries for building models. Their ecosystem includes higher-level tools like Keras for rapid prototyping and specialized libraries like Hugging Face Transformers for NLP tasks, which can be fine-tuned on financial text.</w:t>
      </w:r>
    </w:p>
    <w:p w14:paraId="0B4BF5E7">
      <w:pPr>
        <w:jc w:val="both"/>
      </w:pPr>
      <w:r>
        <w:rPr>
          <w:rFonts w:ascii="Times New Roman" w:hAnsi="Times New Roman"/>
          <w:sz w:val="20"/>
        </w:rPr>
        <w:t>A critical, often underappreciated, set of components falls under MLOps (Machine Learning Operations). These tools manage the model lifecycle and ensure the pipeline's operational health. They relate directly to every other layer: version control systems (e.g., DVC for data, Git for code) track changes in datasets and model code; experiment trackers (MLflow) log training parameters and metrics; model registries catalog approved models; and continuous integration/continuous deployment (CI/CD) pipelines automate testing and deployment. Monitoring tools watch for data drift (changes in the input data distribution) and concept drift (changes in the relationship between input and output), which are common in volatile financial markets, and trigger retraining workflows. This MLOps layer is what transitions AI from a research project to a reliable, industrial-grade capability.</w:t>
      </w:r>
    </w:p>
    <w:p w14:paraId="384C90A2">
      <w:pPr>
        <w:jc w:val="both"/>
      </w:pPr>
      <w:r>
        <w:rPr>
          <w:rFonts w:ascii="Times New Roman" w:hAnsi="Times New Roman"/>
          <w:sz w:val="20"/>
        </w:rPr>
        <w:t>Finally, the Security, Compliance, and Explainability components are not ancillary but are deeply integrated into the design. In finance, the "black box" nature of complex models like deep neural networks is a major concern for regulators and risk managers [Facebook, 2025]. Therefore, explainable AI (XAI) techniques, such as SHAP (SHapley Additive exPlanations) and LIME (Local Interpretable Model-agnostic Explanations), are employed to provide post-hoc explanations for model decisions, crucial for credit denials or fraud flags. Data lineage tools track the provenance of data throughout the pipeline, which is essential for audit trails mandated by regulations like GDPR or sector-specific rules. Encryption (both at rest and in transit) and strict identity and access management (IAM) controls are woven into the infrastructure to protect sensitive financial information.</w:t>
      </w:r>
    </w:p>
    <w:p w14:paraId="5DB3D906">
      <w:pPr>
        <w:jc w:val="center"/>
      </w:pPr>
      <w:r>
        <w:drawing>
          <wp:inline distT="0" distB="0" distL="114300" distR="114300">
            <wp:extent cx="4114800" cy="2969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114800" cy="2969443"/>
                    </a:xfrm>
                    <a:prstGeom prst="rect">
                      <a:avLst/>
                    </a:prstGeom>
                  </pic:spPr>
                </pic:pic>
              </a:graphicData>
            </a:graphic>
          </wp:inline>
        </w:drawing>
      </w:r>
    </w:p>
    <w:p w14:paraId="02B7F004">
      <w:pPr>
        <w:jc w:val="center"/>
      </w:pPr>
      <w:r>
        <w:rPr>
          <w:rFonts w:ascii="Times New Roman" w:hAnsi="Times New Roman"/>
          <w:sz w:val="18"/>
        </w:rPr>
        <w:t>Figure 5. Component relationships (Source: Generated Class Diagram)</w:t>
      </w:r>
    </w:p>
    <w:p w14:paraId="19D82396">
      <w:pPr>
        <w:jc w:val="both"/>
      </w:pPr>
      <w:r>
        <w:rPr>
          <w:rFonts w:ascii="Times New Roman" w:hAnsi="Times New Roman"/>
          <w:sz w:val="20"/>
        </w:rPr>
        <w:t>classDiagram</w:t>
      </w:r>
    </w:p>
    <w:p w14:paraId="085EF1F1">
      <w:pPr>
        <w:jc w:val="both"/>
      </w:pPr>
      <w:r>
        <w:rPr>
          <w:rFonts w:ascii="Times New Roman" w:hAnsi="Times New Roman"/>
          <w:sz w:val="20"/>
        </w:rPr>
        <w:t>class CloudInfrastructure {</w:t>
      </w:r>
    </w:p>
    <w:p w14:paraId="1218056D">
      <w:pPr>
        <w:jc w:val="both"/>
      </w:pPr>
      <w:r>
        <w:rPr>
          <w:rFonts w:ascii="Times New Roman" w:hAnsi="Times New Roman"/>
          <w:sz w:val="20"/>
        </w:rPr>
        <w:t>+Scalable Compute</w:t>
      </w:r>
    </w:p>
    <w:p w14:paraId="37341994">
      <w:pPr>
        <w:jc w:val="both"/>
      </w:pPr>
      <w:r>
        <w:rPr>
          <w:rFonts w:ascii="Times New Roman" w:hAnsi="Times New Roman"/>
          <w:sz w:val="20"/>
        </w:rPr>
        <w:t>+Managed Services (DB, ML)</w:t>
      </w:r>
    </w:p>
    <w:p w14:paraId="1B645633">
      <w:pPr>
        <w:jc w:val="both"/>
      </w:pPr>
      <w:r>
        <w:rPr>
          <w:rFonts w:ascii="Times New Roman" w:hAnsi="Times New Roman"/>
          <w:sz w:val="20"/>
        </w:rPr>
        <w:t>+Compliance Controls</w:t>
      </w:r>
    </w:p>
    <w:p w14:paraId="4AA9CF68">
      <w:pPr>
        <w:jc w:val="both"/>
      </w:pPr>
      <w:r>
        <w:rPr>
          <w:rFonts w:ascii="Times New Roman" w:hAnsi="Times New Roman"/>
          <w:sz w:val="20"/>
        </w:rPr>
        <w:t>}</w:t>
      </w:r>
    </w:p>
    <w:p w14:paraId="6A2AD340">
      <w:pPr>
        <w:jc w:val="both"/>
      </w:pPr>
      <w:r>
        <w:rPr>
          <w:rFonts w:ascii="Times New Roman" w:hAnsi="Times New Roman"/>
          <w:sz w:val="20"/>
        </w:rPr>
        <w:t>class DataManagement {</w:t>
      </w:r>
    </w:p>
    <w:p w14:paraId="6BDDCCBE">
      <w:pPr>
        <w:jc w:val="both"/>
      </w:pPr>
      <w:r>
        <w:rPr>
          <w:rFonts w:ascii="Times New Roman" w:hAnsi="Times New Roman"/>
          <w:sz w:val="20"/>
        </w:rPr>
        <w:t>+Data Lakes / Warehouses</w:t>
      </w:r>
    </w:p>
    <w:p w14:paraId="7F6AA872">
      <w:pPr>
        <w:jc w:val="both"/>
      </w:pPr>
      <w:r>
        <w:rPr>
          <w:rFonts w:ascii="Times New Roman" w:hAnsi="Times New Roman"/>
          <w:sz w:val="20"/>
        </w:rPr>
        <w:t>+Feature Stores</w:t>
      </w:r>
    </w:p>
    <w:p w14:paraId="19FE94E7">
      <w:pPr>
        <w:jc w:val="both"/>
      </w:pPr>
      <w:r>
        <w:rPr>
          <w:rFonts w:ascii="Times New Roman" w:hAnsi="Times New Roman"/>
          <w:sz w:val="20"/>
        </w:rPr>
        <w:t>+Stream Processing</w:t>
      </w:r>
    </w:p>
    <w:p w14:paraId="3265BDBD">
      <w:pPr>
        <w:jc w:val="both"/>
      </w:pPr>
      <w:r>
        <w:rPr>
          <w:rFonts w:ascii="Times New Roman" w:hAnsi="Times New Roman"/>
          <w:sz w:val="20"/>
        </w:rPr>
        <w:t>}</w:t>
      </w:r>
    </w:p>
    <w:p w14:paraId="4B25CF2D">
      <w:pPr>
        <w:jc w:val="both"/>
      </w:pPr>
      <w:r>
        <w:rPr>
          <w:rFonts w:ascii="Times New Roman" w:hAnsi="Times New Roman"/>
          <w:sz w:val="20"/>
        </w:rPr>
        <w:t>class AIFrameworks {</w:t>
      </w:r>
    </w:p>
    <w:p w14:paraId="0F72297A">
      <w:pPr>
        <w:jc w:val="both"/>
      </w:pPr>
      <w:r>
        <w:rPr>
          <w:rFonts w:ascii="Times New Roman" w:hAnsi="Times New Roman"/>
          <w:sz w:val="20"/>
        </w:rPr>
        <w:t>+TensorFlow / PyTorch</w:t>
      </w:r>
    </w:p>
    <w:p w14:paraId="558C5DD8">
      <w:pPr>
        <w:jc w:val="both"/>
      </w:pPr>
      <w:r>
        <w:rPr>
          <w:rFonts w:ascii="Times New Roman" w:hAnsi="Times New Roman"/>
          <w:sz w:val="20"/>
        </w:rPr>
        <w:t>+Hugging Face Transformers</w:t>
      </w:r>
    </w:p>
    <w:p w14:paraId="7636B2A8">
      <w:pPr>
        <w:jc w:val="both"/>
      </w:pPr>
      <w:r>
        <w:rPr>
          <w:rFonts w:ascii="Times New Roman" w:hAnsi="Times New Roman"/>
          <w:sz w:val="20"/>
        </w:rPr>
        <w:t>+Reinforcement Learning Libs</w:t>
      </w:r>
    </w:p>
    <w:p w14:paraId="434B82A2">
      <w:pPr>
        <w:jc w:val="both"/>
      </w:pPr>
      <w:r>
        <w:rPr>
          <w:rFonts w:ascii="Times New Roman" w:hAnsi="Times New Roman"/>
          <w:sz w:val="20"/>
        </w:rPr>
        <w:t>}</w:t>
      </w:r>
    </w:p>
    <w:p w14:paraId="71A9B21E">
      <w:pPr>
        <w:jc w:val="both"/>
      </w:pPr>
      <w:r>
        <w:rPr>
          <w:rFonts w:ascii="Times New Roman" w:hAnsi="Times New Roman"/>
          <w:sz w:val="20"/>
        </w:rPr>
        <w:t>class MLOps {</w:t>
      </w:r>
    </w:p>
    <w:p w14:paraId="71968EA4">
      <w:pPr>
        <w:jc w:val="both"/>
      </w:pPr>
      <w:r>
        <w:rPr>
          <w:rFonts w:ascii="Times New Roman" w:hAnsi="Times New Roman"/>
          <w:sz w:val="20"/>
        </w:rPr>
        <w:t>+Experiment Tracking</w:t>
      </w:r>
    </w:p>
    <w:p w14:paraId="69BB6A5E">
      <w:pPr>
        <w:jc w:val="both"/>
      </w:pPr>
      <w:r>
        <w:rPr>
          <w:rFonts w:ascii="Times New Roman" w:hAnsi="Times New Roman"/>
          <w:sz w:val="20"/>
        </w:rPr>
        <w:t>+Model Registry</w:t>
      </w:r>
    </w:p>
    <w:p w14:paraId="1208411C">
      <w:pPr>
        <w:jc w:val="both"/>
      </w:pPr>
      <w:r>
        <w:rPr>
          <w:rFonts w:ascii="Times New Roman" w:hAnsi="Times New Roman"/>
          <w:sz w:val="20"/>
        </w:rPr>
        <w:t>+Pipeline Orchestration</w:t>
      </w:r>
    </w:p>
    <w:p w14:paraId="7C58BFC4">
      <w:pPr>
        <w:jc w:val="both"/>
      </w:pPr>
      <w:r>
        <w:rPr>
          <w:rFonts w:ascii="Times New Roman" w:hAnsi="Times New Roman"/>
          <w:sz w:val="20"/>
        </w:rPr>
        <w:t>+Performance Monitoring</w:t>
      </w:r>
    </w:p>
    <w:p w14:paraId="7C194552">
      <w:pPr>
        <w:jc w:val="both"/>
      </w:pPr>
      <w:r>
        <w:rPr>
          <w:rFonts w:ascii="Times New Roman" w:hAnsi="Times New Roman"/>
          <w:sz w:val="20"/>
        </w:rPr>
        <w:t>}</w:t>
      </w:r>
    </w:p>
    <w:p w14:paraId="3177F4E8">
      <w:pPr>
        <w:jc w:val="both"/>
      </w:pPr>
      <w:r>
        <w:rPr>
          <w:rFonts w:ascii="Times New Roman" w:hAnsi="Times New Roman"/>
          <w:sz w:val="20"/>
        </w:rPr>
        <w:t>class SecurityExplainability {</w:t>
      </w:r>
    </w:p>
    <w:p w14:paraId="061C52A0">
      <w:pPr>
        <w:jc w:val="both"/>
      </w:pPr>
      <w:r>
        <w:rPr>
          <w:rFonts w:ascii="Times New Roman" w:hAnsi="Times New Roman"/>
          <w:sz w:val="20"/>
        </w:rPr>
        <w:t>+XAI Tools (SHAP, LIME)</w:t>
      </w:r>
    </w:p>
    <w:p w14:paraId="194B6B32">
      <w:pPr>
        <w:jc w:val="both"/>
      </w:pPr>
      <w:r>
        <w:rPr>
          <w:rFonts w:ascii="Times New Roman" w:hAnsi="Times New Roman"/>
          <w:sz w:val="20"/>
        </w:rPr>
        <w:t>+Data Lineage</w:t>
      </w:r>
    </w:p>
    <w:p w14:paraId="6882EACC">
      <w:pPr>
        <w:jc w:val="both"/>
      </w:pPr>
      <w:r>
        <w:rPr>
          <w:rFonts w:ascii="Times New Roman" w:hAnsi="Times New Roman"/>
          <w:sz w:val="20"/>
        </w:rPr>
        <w:t>+Encryption &amp; IAM</w:t>
      </w:r>
    </w:p>
    <w:p w14:paraId="432D27A9">
      <w:pPr>
        <w:jc w:val="both"/>
      </w:pPr>
      <w:r>
        <w:rPr>
          <w:rFonts w:ascii="Times New Roman" w:hAnsi="Times New Roman"/>
          <w:sz w:val="20"/>
        </w:rPr>
        <w:t>}</w:t>
      </w:r>
    </w:p>
    <w:p w14:paraId="4F49120E">
      <w:pPr>
        <w:jc w:val="both"/>
      </w:pPr>
      <w:r>
        <w:rPr>
          <w:rFonts w:ascii="Times New Roman" w:hAnsi="Times New Roman"/>
          <w:sz w:val="20"/>
        </w:rPr>
        <w:t>class ApplicationServices {</w:t>
      </w:r>
    </w:p>
    <w:p w14:paraId="42624AE6">
      <w:pPr>
        <w:jc w:val="both"/>
      </w:pPr>
      <w:r>
        <w:rPr>
          <w:rFonts w:ascii="Times New Roman" w:hAnsi="Times New Roman"/>
          <w:sz w:val="20"/>
        </w:rPr>
        <w:t>+Trading Engines</w:t>
      </w:r>
    </w:p>
    <w:p w14:paraId="6BDDA679">
      <w:pPr>
        <w:jc w:val="both"/>
      </w:pPr>
      <w:r>
        <w:rPr>
          <w:rFonts w:ascii="Times New Roman" w:hAnsi="Times New Roman"/>
          <w:sz w:val="20"/>
        </w:rPr>
        <w:t>+Robo-Advisor APIs</w:t>
      </w:r>
    </w:p>
    <w:p w14:paraId="3E0AE58C">
      <w:pPr>
        <w:jc w:val="both"/>
      </w:pPr>
      <w:r>
        <w:rPr>
          <w:rFonts w:ascii="Times New Roman" w:hAnsi="Times New Roman"/>
          <w:sz w:val="20"/>
        </w:rPr>
        <w:t>+Customer Dashboards</w:t>
      </w:r>
    </w:p>
    <w:p w14:paraId="5F88A402">
      <w:pPr>
        <w:jc w:val="both"/>
      </w:pPr>
      <w:r>
        <w:rPr>
          <w:rFonts w:ascii="Times New Roman" w:hAnsi="Times New Roman"/>
          <w:sz w:val="20"/>
        </w:rPr>
        <w:t>}</w:t>
      </w:r>
    </w:p>
    <w:p w14:paraId="73BFEEE4">
      <w:pPr>
        <w:jc w:val="both"/>
      </w:pPr>
      <w:r>
        <w:rPr>
          <w:rFonts w:ascii="Times New Roman" w:hAnsi="Times New Roman"/>
          <w:sz w:val="20"/>
        </w:rPr>
        <w:t>CloudInfrastructure -- DataManagement : Hosts &amp; Provides Scale</w:t>
      </w:r>
    </w:p>
    <w:p w14:paraId="17282E3A">
      <w:pPr>
        <w:jc w:val="both"/>
      </w:pPr>
      <w:r>
        <w:rPr>
          <w:rFonts w:ascii="Times New Roman" w:hAnsi="Times New Roman"/>
          <w:sz w:val="20"/>
        </w:rPr>
        <w:t>CloudInfrastructure -- AIFrameworks : Provides GPU/TPU Runtime</w:t>
      </w:r>
    </w:p>
    <w:p w14:paraId="7BD28FD3">
      <w:pPr>
        <w:jc w:val="both"/>
      </w:pPr>
      <w:r>
        <w:rPr>
          <w:rFonts w:ascii="Times New Roman" w:hAnsi="Times New Roman"/>
          <w:sz w:val="20"/>
        </w:rPr>
        <w:t>DataManagement -- AIFrameworks : Supplies Training/Inference Data</w:t>
      </w:r>
    </w:p>
    <w:p w14:paraId="0F349EE6">
      <w:pPr>
        <w:jc w:val="both"/>
      </w:pPr>
      <w:r>
        <w:rPr>
          <w:rFonts w:ascii="Times New Roman" w:hAnsi="Times New Roman"/>
          <w:sz w:val="20"/>
        </w:rPr>
        <w:t>AIFrameworks -- MLOps : Generates Models for Management</w:t>
      </w:r>
    </w:p>
    <w:p w14:paraId="26D629A9">
      <w:pPr>
        <w:jc w:val="both"/>
      </w:pPr>
      <w:r>
        <w:rPr>
          <w:rFonts w:ascii="Times New Roman" w:hAnsi="Times New Roman"/>
          <w:sz w:val="20"/>
        </w:rPr>
        <w:t>MLOps --o DataManagement : Monitors Data Drift</w:t>
      </w:r>
    </w:p>
    <w:p w14:paraId="7397375C">
      <w:pPr>
        <w:jc w:val="both"/>
      </w:pPr>
      <w:r>
        <w:rPr>
          <w:rFonts w:ascii="Times New Roman" w:hAnsi="Times New Roman"/>
          <w:sz w:val="20"/>
        </w:rPr>
        <w:t>MLOps --o AIFrameworks : Manages Model Lifecycle</w:t>
      </w:r>
    </w:p>
    <w:p w14:paraId="146BC091">
      <w:pPr>
        <w:jc w:val="both"/>
      </w:pPr>
      <w:r>
        <w:rPr>
          <w:rFonts w:ascii="Times New Roman" w:hAnsi="Times New Roman"/>
          <w:sz w:val="20"/>
        </w:rPr>
        <w:t>AIFrameworks -- ApplicationServices : Provides Predictions/Signals</w:t>
      </w:r>
    </w:p>
    <w:p w14:paraId="4DADA282">
      <w:pPr>
        <w:jc w:val="both"/>
      </w:pPr>
      <w:r>
        <w:rPr>
          <w:rFonts w:ascii="Times New Roman" w:hAnsi="Times New Roman"/>
          <w:sz w:val="20"/>
        </w:rPr>
        <w:t>SecurityExplainability ..&gt; DataManagement : Audits Lineage</w:t>
      </w:r>
    </w:p>
    <w:p w14:paraId="7C991CEF">
      <w:pPr>
        <w:jc w:val="both"/>
      </w:pPr>
      <w:r>
        <w:rPr>
          <w:rFonts w:ascii="Times New Roman" w:hAnsi="Times New Roman"/>
          <w:sz w:val="20"/>
        </w:rPr>
        <w:t>SecurityExplainability ..&gt; AIFrameworks : Explains Predictions</w:t>
      </w:r>
    </w:p>
    <w:p w14:paraId="775BC7BA">
      <w:pPr>
        <w:jc w:val="both"/>
      </w:pPr>
      <w:r>
        <w:rPr>
          <w:rFonts w:ascii="Times New Roman" w:hAnsi="Times New Roman"/>
          <w:sz w:val="20"/>
        </w:rPr>
        <w:t>SecurityExplainability ..&gt; ApplicationServices : Governs Access</w:t>
      </w:r>
    </w:p>
    <w:p w14:paraId="49EE052E">
      <w:pPr>
        <w:pStyle w:val="5"/>
      </w:pPr>
      <w:r>
        <w:rPr>
          <w:rFonts w:ascii="Times New Roman" w:hAnsi="Times New Roman"/>
          <w:sz w:val="22"/>
        </w:rPr>
        <w:t>4.4 Implementation Challenges and Strategic Considerations</w:t>
      </w:r>
    </w:p>
    <w:p w14:paraId="033C23C5">
      <w:pPr>
        <w:jc w:val="both"/>
      </w:pPr>
      <w:r>
        <w:rPr>
          <w:rFonts w:ascii="Times New Roman" w:hAnsi="Times New Roman"/>
          <w:sz w:val="20"/>
        </w:rPr>
        <w:t>Translating this technical blueprint into a production-grade system involves navigating significant implementation challenges. A primary hurdle is data quality and integration. Financial data is often siloed across legacy core banking systems, which can be decades old and lack modern APIs. Creating a unified, clean "single source of truth" for model training requires substantial investment in data engineering and governance. Furthermore, the use of alternative data for credit scoring or sentiment analysis introduces questions about bias, privacy, and representativeness, which must be addressed ethically and legally [ScienceDirect, 2025].</w:t>
      </w:r>
    </w:p>
    <w:p w14:paraId="4ED18029">
      <w:pPr>
        <w:jc w:val="both"/>
      </w:pPr>
      <w:r>
        <w:rPr>
          <w:rFonts w:ascii="Times New Roman" w:hAnsi="Times New Roman"/>
          <w:sz w:val="20"/>
        </w:rPr>
        <w:t>Model risk management is another paramount concern. The complexity of AI models, especially deep learning and RL, can obscure their failure modes. A model may perform exceptionally in backtests but fail catastrophically in live markets due to overfitting or unforeseen regime shifts. Institutions like JPMorgan Chase and Goldman Sachs are therefore investing heavily in explainable AI and robust validation frameworks to understand and mitigate these risks [Facebook, 2025; Masood, 2025]. This includes stress-testing models under extreme but plausible scenarios and establishing clear governance protocols for model approval, deployment, and decommissioning.</w:t>
      </w:r>
    </w:p>
    <w:p w14:paraId="42BBA7AB">
      <w:pPr>
        <w:jc w:val="both"/>
      </w:pPr>
      <w:r>
        <w:rPr>
          <w:rFonts w:ascii="Times New Roman" w:hAnsi="Times New Roman"/>
          <w:sz w:val="20"/>
        </w:rPr>
        <w:t>The talent and organizational dimension is equally critical. Building and maintaining these systems requires a rare blend of skills: data scientists with deep financial domain knowledge, ML engineers proficient in MLOps, and cloud architects familiar with secure, compliant infrastructure. Fostering collaboration between these technical teams and traditional business, risk, and compliance units is a cultural challenge that many institutions face. The strategic integration of AI into banking technology architecture, as discussed in industry forums, emphasizes that success depends on aligning AI initiatives with core business processes rather than treating them as isolated IT projects [The Asian Banker, 2026].</w:t>
      </w:r>
    </w:p>
    <w:p w14:paraId="733A2444">
      <w:pPr>
        <w:jc w:val="both"/>
      </w:pPr>
      <w:r>
        <w:rPr>
          <w:rFonts w:ascii="Times New Roman" w:hAnsi="Times New Roman"/>
          <w:sz w:val="20"/>
        </w:rPr>
        <w:t>Finally, the regulatory and ethical landscape is evolving rapidly. Regulators worldwide are scrutinizing AI use in finance, focusing on algorithmic fairness, transparency, and systemic stability [Humanities and Social Sciences Communications, 2025; IOSCO, n.d.]. Techniques used in high-frequency trading must comply with market abuse regulations, while credit models must adhere to fair lending laws. Implementing AI responsibly necessitates building auditability and fairness constraints directly into the model development lifecycle, from data collection to deployment. The emerging field of Regulatory Technology (RegTech) itself uses AI to help institutions comply with these complex requirements, creating a meta-layer of technology governing technology [SSRN, n.d.].</w:t>
      </w:r>
    </w:p>
    <w:p w14:paraId="65C9C0E3">
      <w:pPr>
        <w:jc w:val="both"/>
      </w:pPr>
      <w:r>
        <w:rPr>
          <w:rFonts w:ascii="Times New Roman" w:hAnsi="Times New Roman"/>
          <w:sz w:val="20"/>
        </w:rPr>
        <w:t>In conclusion, the technical analysis of AI+Finance reveals a domain of remarkable sophistication and interdependence. The journey from raw data to financial action is enabled by a carefully orchestrated stack of methodologies, architectures, and components. While the potential for efficiency gains, alpha generation, and financial inclusion is immense, as evidenced by the sector's explosive market growth [GM Insights, n.d.], realizing this potential sustainably requires a disciplined approach to system design, model risk management, and ethical governance. The future technical evolution will likely involve greater autonomy through advanced AI agents, deeper integration of quantum computing for specific optimization problems, and an ever-tighter coupling between AI innovation and the regulatory frameworks that ensure the stability and fairness of the financial system [Fortune Business Insights, 2026; SSRN, 2025].</w:t>
      </w:r>
    </w:p>
    <w:p w14:paraId="4FC42ABC">
      <w:pPr>
        <w:pStyle w:val="4"/>
      </w:pPr>
      <w:r>
        <w:rPr>
          <w:rFonts w:ascii="Times New Roman" w:hAnsi="Times New Roman"/>
          <w:sz w:val="24"/>
        </w:rPr>
        <w:t>5. Case Studies</w:t>
      </w:r>
    </w:p>
    <w:p w14:paraId="094FFC01">
      <w:pPr>
        <w:jc w:val="both"/>
      </w:pPr>
      <w:r>
        <w:rPr>
          <w:rFonts w:ascii="Times New Roman" w:hAnsi="Times New Roman"/>
          <w:sz w:val="20"/>
        </w:rPr>
        <w:t>The theoretical frameworks, market dynamics, and technological capabilities of AI in finance are best understood through their practical application. The following case studies provide a detailed, narrative exploration of how leading institutions have navigated the complex journey from concept to implementation, revealing the tangible challenges, strategic decisions, and measurable outcomes that define the AI+Finance landscape. These stories illustrate the convergence of core technologies—natural language processing, computer vision, and machine learning—within specific business contexts, from global investment banking to consumer-focused fintech innovation and foundational regulatory compliance. They demonstrate that successful AI integration is less about the mere adoption of algorithms and more about their careful alignment with strategic imperatives, operational architectures, and evolving risk frameworks.</w:t>
      </w:r>
    </w:p>
    <w:p w14:paraId="23D95AC8">
      <w:pPr>
        <w:pStyle w:val="5"/>
      </w:pPr>
      <w:r>
        <w:rPr>
          <w:rFonts w:ascii="Times New Roman" w:hAnsi="Times New Roman"/>
          <w:sz w:val="22"/>
        </w:rPr>
        <w:t>5.1. JPMorgan Chase: Orchestrating AI at Scale for Alpha Generation and Operational Resilience</w:t>
      </w:r>
    </w:p>
    <w:p w14:paraId="190126EA">
      <w:pPr>
        <w:jc w:val="both"/>
      </w:pPr>
      <w:r>
        <w:rPr>
          <w:rFonts w:ascii="Times New Roman" w:hAnsi="Times New Roman"/>
          <w:sz w:val="20"/>
        </w:rPr>
        <w:t>The story of AI at JPMorgan Chase is one of unparalleled scale and strategic orchestration, positioning the bank as the undisputed leader in financial services AI. The context for this transformation was a perfect storm of competitive pressure, data proliferation, and escalating operational complexity. By the early 2010s, the bank faced the dual challenge of maintaining its edge in global markets while managing the immense cost and risk associated with its vast, manual back-office and compliance functions. The strategic response, led by a dedicated AI research division, was to treat AI not as a siloed IT project but as a core competency woven into the fabric of the entire organization [Masood, 2025]. This approach has resulted in over 300 production AI use cases, a number that reflects a deliberate, use-case-driven compass guiding investment from proof-of-concept to enterprise-wide deployment [Masood, 2025].</w:t>
      </w:r>
    </w:p>
    <w:p w14:paraId="43739B3E">
      <w:pPr>
        <w:jc w:val="both"/>
      </w:pPr>
      <w:r>
        <w:rPr>
          <w:rFonts w:ascii="Times New Roman" w:hAnsi="Times New Roman"/>
          <w:sz w:val="20"/>
        </w:rPr>
        <w:t>The implementation of this vision is a masterclass in leveraging diverse AI methodologies to address distinct business lines. In the markets division, the pursuit of alpha (excess returns) led to the development of IndexGPT. This platform utilizes natural language processing (NLP) to parse financial news, research reports, and macroeconomic commentary, transforming unstructured text into quantitative signals. By analyzing sentiment and extracting thematic insights, the system can dynamically create and suggest custom investment indices tailored to specific client views or market narratives, a service that blends AI-driven research with traditional sales and trading [Masood, 2025]. This application directly addresses the research finding that general-purpose language models require fine-tuning for financial nuance; JPMorgan’s models are trained on proprietary, domain-specific corpora to ensure relevance and accuracy [ResearchGate, 2024]. In parallel, the bank’s COIN (Contract Intelligence) platform tackles a monumental operational burden. Using a combination of computer vision for document digitization and NLP for semantic understanding, COIN reviews commercial credit agreements—a task that once consumed 360,000 hours of lawyer time annually—in seconds, extracting key obligations and clauses with far greater accuracy than human review [Bold Generic Solutions, 2026]. This synergy of vision and language processing exemplifies the technical deep-dive finding on end-to-end document automation, driving radical efficiency.</w:t>
      </w:r>
    </w:p>
    <w:p w14:paraId="01C7A7FE">
      <w:pPr>
        <w:jc w:val="both"/>
      </w:pPr>
      <w:r>
        <w:rPr>
          <w:rFonts w:ascii="Times New Roman" w:hAnsi="Times New Roman"/>
          <w:sz w:val="20"/>
        </w:rPr>
        <w:t>However, JPMorgan’s most critical AI deployment may be in the realm of risk and compliance. The bank’s AI systems analyze millions of daily transactions to identify patterns indicative of fraud, money laundering, or market abuse [Masood, 2025]. This moves far beyond static rules to employ sophisticated machine learning models that adapt to new typologies of illicit activity, a capability highlighted as essential for modern financial security [Articsledge, 2025; FSB, 2017]. The outcomes of this multi-pronged strategy are profound. Financially, AI-driven efficiencies and new revenue streams contribute significantly to the bank’s bottom line, reinforcing its market leadership. Operationally, tools like COIN have redefined productivity, freeing expert personnel for higher-value analysis. Strategically, JPMorgan has built a formidable moat; its vast proprietary datasets and sprawling production use cases create a scale advantage that is difficult for competitors to replicate. Yet, this leadership brings intensified scrutiny. The bank acknowledges that systemic risk may now stem less from traditional market shocks and more from opaque AI failures, driving its significant investment in explainable AI (XAI) to ensure model decisions are transparent and auditable—a critical consideration as regulatory focus on algorithmic governance intensifies [Facebook, 2025] [Humanities and Social Sciences Communications, 2025].</w:t>
      </w:r>
    </w:p>
    <w:p w14:paraId="75DA5833">
      <w:pPr>
        <w:pStyle w:val="5"/>
      </w:pPr>
      <w:r>
        <w:rPr>
          <w:rFonts w:ascii="Times New Roman" w:hAnsi="Times New Roman"/>
          <w:sz w:val="22"/>
        </w:rPr>
        <w:t>5.2. Upstart: Disrupting Consumer Credit with Alternative Data and Machine Learning</w:t>
      </w:r>
    </w:p>
    <w:p w14:paraId="55D301EC">
      <w:pPr>
        <w:jc w:val="both"/>
      </w:pPr>
      <w:r>
        <w:rPr>
          <w:rFonts w:ascii="Times New Roman" w:hAnsi="Times New Roman"/>
          <w:sz w:val="20"/>
        </w:rPr>
        <w:t>While JPMorgan represents incumbent transformation, Upstart’s case study is a narrative of pure fintech disruption, targeting the foundational process of credit assessment. The context was a consumer lending market burdened by outdated methodologies. Traditional FICO-based models, reliant on a limited set of financial history variables, were inherently exclusionary, creating a vast population of "credit invisible" or thin-file consumers deemed too risky or unscoreable by mainstream lenders [AESS Publications, 2025]. Upstart, founded in 2012, identified this as both a social inequity and a massive market inefficiency. Their hypothesis was that machine learning could uncover superior signals of creditworthiness within thousands of alternative data points—from education and employment history to cash flow patterns—enabling more accurate, inclusive, and automated lending.</w:t>
      </w:r>
    </w:p>
    <w:p w14:paraId="649C3A76">
      <w:pPr>
        <w:jc w:val="both"/>
      </w:pPr>
      <w:r>
        <w:rPr>
          <w:rFonts w:ascii="Times New Roman" w:hAnsi="Times New Roman"/>
          <w:sz w:val="20"/>
        </w:rPr>
        <w:t>The implementation of this vision required a full-stack rebuild of the lending process. At its core is a proprietary AI lending platform that ingests over 1,600 data points per applicant, far beyond the dozen or so used in traditional models. The platform employs advanced machine learning algorithms, continuously trained on a massive dataset of loan performance outcomes, to predict the probability of default for each individual applicant [ScienceDirect, 2025]. This model is not a static rules engine but a dynamic learning system, embodying the historical evolution from 1980s expert systems to modern, adaptive ML [Medium, n.d.]. The underwriting process is almost fully automated, with the AI providing instant approval decisions and personalized interest rates. For bank partners on Upstart’s platform, this manifests as a "software-as-a-service" model where they leverage Upstart’s AI to originate loans, thereby expanding their addressable market without developing the capability in-house. This partnership model illustrates the symbiotic relationship between agile fintechs and traditional institutions, a key dynamic in the current market landscape [Databridge Market Research, 2032].</w:t>
      </w:r>
    </w:p>
    <w:p w14:paraId="509EB3EB">
      <w:pPr>
        <w:jc w:val="center"/>
      </w:pPr>
      <w:r>
        <w:drawing>
          <wp:inline distT="0" distB="0" distL="114300" distR="114300">
            <wp:extent cx="4114800" cy="5496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14800" cy="5496870"/>
                    </a:xfrm>
                    <a:prstGeom prst="rect">
                      <a:avLst/>
                    </a:prstGeom>
                  </pic:spPr>
                </pic:pic>
              </a:graphicData>
            </a:graphic>
          </wp:inline>
        </w:drawing>
      </w:r>
    </w:p>
    <w:p w14:paraId="794CBD0A">
      <w:pPr>
        <w:jc w:val="center"/>
      </w:pPr>
      <w:r>
        <w:rPr>
          <w:rFonts w:ascii="Times New Roman" w:hAnsi="Times New Roman"/>
          <w:sz w:val="18"/>
        </w:rPr>
        <w:t>Figure 6. description (Source: Generated Flowchart Diagram)</w:t>
      </w:r>
    </w:p>
    <w:p w14:paraId="401767E3">
      <w:pPr>
        <w:jc w:val="both"/>
      </w:pPr>
      <w:r>
        <w:rPr>
          <w:rFonts w:ascii="Times New Roman" w:hAnsi="Times New Roman"/>
          <w:sz w:val="20"/>
        </w:rPr>
        <w:t>flowchart TD</w:t>
      </w:r>
    </w:p>
    <w:p w14:paraId="616CDA80">
      <w:pPr>
        <w:jc w:val="both"/>
      </w:pPr>
      <w:r>
        <w:rPr>
          <w:rFonts w:ascii="Times New Roman" w:hAnsi="Times New Roman"/>
          <w:sz w:val="20"/>
        </w:rPr>
        <w:t>A[Applicant Submits Request] --&gt; B[AI Platform Analyzes&lt;br&gt;1600+ Data Points]</w:t>
      </w:r>
    </w:p>
    <w:p w14:paraId="49989EC6">
      <w:pPr>
        <w:jc w:val="both"/>
      </w:pPr>
      <w:r>
        <w:rPr>
          <w:rFonts w:ascii="Times New Roman" w:hAnsi="Times New Roman"/>
          <w:sz w:val="20"/>
        </w:rPr>
        <w:t>B --&gt; C{ML Model Predicts&lt;br&gt;Default Risk}</w:t>
      </w:r>
    </w:p>
    <w:p w14:paraId="58FF35BD">
      <w:pPr>
        <w:jc w:val="both"/>
      </w:pPr>
      <w:r>
        <w:rPr>
          <w:rFonts w:ascii="Times New Roman" w:hAnsi="Times New Roman"/>
          <w:sz w:val="20"/>
        </w:rPr>
        <w:t>C --&gt; D[Instant Decision:&lt;br&gt;Approve/Deny &amp; Rate]</w:t>
      </w:r>
    </w:p>
    <w:p w14:paraId="5ADDFF8D">
      <w:pPr>
        <w:jc w:val="both"/>
      </w:pPr>
      <w:r>
        <w:rPr>
          <w:rFonts w:ascii="Times New Roman" w:hAnsi="Times New Roman"/>
          <w:sz w:val="20"/>
        </w:rPr>
        <w:t>D --&gt; E[Loan Funded by&lt;br&gt;Bank Partner]</w:t>
      </w:r>
    </w:p>
    <w:p w14:paraId="0EEF2BBD">
      <w:pPr>
        <w:jc w:val="both"/>
      </w:pPr>
      <w:r>
        <w:rPr>
          <w:rFonts w:ascii="Times New Roman" w:hAnsi="Times New Roman"/>
          <w:sz w:val="20"/>
        </w:rPr>
        <w:t>E --&gt; F[Performance Data]</w:t>
      </w:r>
    </w:p>
    <w:p w14:paraId="7BA5D2CF">
      <w:pPr>
        <w:jc w:val="both"/>
      </w:pPr>
      <w:r>
        <w:rPr>
          <w:rFonts w:ascii="Times New Roman" w:hAnsi="Times New Roman"/>
          <w:sz w:val="20"/>
        </w:rPr>
        <w:t>F --&gt; G[Continuous Model&lt;br&gt;Training &amp; Refinement]</w:t>
      </w:r>
    </w:p>
    <w:p w14:paraId="4D3B8020">
      <w:pPr>
        <w:jc w:val="both"/>
      </w:pPr>
      <w:r>
        <w:rPr>
          <w:rFonts w:ascii="Times New Roman" w:hAnsi="Times New Roman"/>
          <w:sz w:val="20"/>
        </w:rPr>
        <w:t>G --&gt; C</w:t>
      </w:r>
    </w:p>
    <w:p w14:paraId="2743B38C">
      <w:pPr>
        <w:jc w:val="both"/>
      </w:pPr>
      <w:r>
        <w:rPr>
          <w:rFonts w:ascii="Times New Roman" w:hAnsi="Times New Roman"/>
          <w:sz w:val="20"/>
        </w:rPr>
        <w:t>The outcomes of Upstart’s AI-driven model have been transformative. For consumers, the platform has demonstrably increased access to credit. The company’s data shows that, at the same approval rate as traditional models, its AI can approve 27% more borrowers. Conversely, to achieve the same loss rate, it can approve 75% more borrowers [ScienceDirect, 2025]. This directly advances the goal of financial inclusion cited in the research. For bank partners, the outcome is a more efficient and profitable loan portfolio; Upstart claims its AI yields loss rates that are consistently lower than those of traditional models. The company’s own growth, from a startup to a publicly-traded platform facilitating billions in loans, is a key data point in the explosive growth statistics of the AI in finance market [GM Insights, n.d.]. However, the case also surfaces critical challenges. The use of alternative data and "black box" ML models raises significant questions about fairness, bias, and regulatory compliance. Critics and regulators scrutinize whether variables like university affiliation or web browsing history could perpetuate societal biases. Upstart’s ongoing journey involves navigating these complex RegTech demands, working to make its models more explainable while proving their empirical superiority—a tension at the heart of the modern AI+Finance regulatory debate [SSRN, n.d.].</w:t>
      </w:r>
    </w:p>
    <w:p w14:paraId="170347E0">
      <w:pPr>
        <w:pStyle w:val="5"/>
      </w:pPr>
      <w:r>
        <w:rPr>
          <w:rFonts w:ascii="Times New Roman" w:hAnsi="Times New Roman"/>
          <w:sz w:val="22"/>
        </w:rPr>
        <w:t>5.3. Nasdaq: Safeguarding Market Integrity with AI-Powered Surveillance (RegTech)</w:t>
      </w:r>
    </w:p>
    <w:p w14:paraId="2AF43B38">
      <w:pPr>
        <w:jc w:val="both"/>
      </w:pPr>
      <w:r>
        <w:rPr>
          <w:rFonts w:ascii="Times New Roman" w:hAnsi="Times New Roman"/>
          <w:sz w:val="20"/>
        </w:rPr>
        <w:t>The final case shifts focus from profit-centric applications to the critical infrastructure of market integrity, exploring the role of AI as a regulatory technology (RegTech). Nasdaq, as a global exchange operator and technology provider, operates within a context defined by overwhelming data velocity and regulatory obligation. Modern markets generate terabytes of structured and unstructured data daily: quote-and-trade ticks, order book dynamics, news feeds, and corporate filings. Manually monitoring this deluge for patterns of market manipulation—such as spoofing, layering, or insider trading—is akin to finding a needle in a moving haystack. The risk is not merely non-compliance but a fundamental erosion of fair and efficient markets, which can trigger systemic consequences. Nasdaq’s imperative was to evolve its surveillance capabilities from retrospective, rule-based alerts to proactive, intelligent detection.</w:t>
      </w:r>
    </w:p>
    <w:p w14:paraId="74B7300C">
      <w:pPr>
        <w:jc w:val="both"/>
      </w:pPr>
      <w:r>
        <w:rPr>
          <w:rFonts w:ascii="Times New Roman" w:hAnsi="Times New Roman"/>
          <w:sz w:val="20"/>
        </w:rPr>
        <w:t>Nasdaq’s implementation, through its SMARTS Surveillance platform, integrates several core AI technologies to create a holistic monitoring system. First, natural language processing engines continuously scan news wires, earnings transcripts, and social media to detect material non-public information or coordinated sentiment campaigns that could precede illicit trading activity [Singapore Natural Language Processing for Finance Market, n.d.]. This addresses the specific application of NLP for news and sentiment analysis in a regulatory context [hasim pathan, n.d.]. Second, machine learning models, including unsupervised learning techniques, analyze trading behavior across entities, instruments, and time. Instead of only flagging transactions that breach a static threshold (e.g., volume spike &gt; X%), these models learn "normal" behavioral patterns for each trader and instrument and identify subtle, anomalous deviations that may indicate collusion or novel forms of abuse [Prove, n.d.]. This represents the advanced fraud detection capabilities noted as essential for financial security [FSB, 2017]. The system correlates these disparate signals—an anomalous trade cluster with a spike in relevant news sentiment—to generate intelligent alerts for human investigators, prioritizing the most likely instances of true misconduct.</w:t>
      </w:r>
    </w:p>
    <w:p w14:paraId="7550C2AB">
      <w:pPr>
        <w:jc w:val="center"/>
      </w:pPr>
      <w:r>
        <w:drawing>
          <wp:inline distT="0" distB="0" distL="114300" distR="114300">
            <wp:extent cx="411480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114800" cy="3200400"/>
                    </a:xfrm>
                    <a:prstGeom prst="rect">
                      <a:avLst/>
                    </a:prstGeom>
                  </pic:spPr>
                </pic:pic>
              </a:graphicData>
            </a:graphic>
          </wp:inline>
        </w:drawing>
      </w:r>
    </w:p>
    <w:p w14:paraId="61B9F68E">
      <w:pPr>
        <w:jc w:val="center"/>
      </w:pPr>
      <w:r>
        <w:rPr>
          <w:rFonts w:ascii="Times New Roman" w:hAnsi="Times New Roman"/>
          <w:sz w:val="18"/>
        </w:rPr>
        <w:t>Figure 7. description (Source: Generated Sequence Diagram)</w:t>
      </w:r>
    </w:p>
    <w:p w14:paraId="111A2779">
      <w:pPr>
        <w:jc w:val="both"/>
      </w:pPr>
      <w:r>
        <w:rPr>
          <w:rFonts w:ascii="Times New Roman" w:hAnsi="Times New Roman"/>
          <w:sz w:val="20"/>
        </w:rPr>
        <w:t>sequenceDiagram</w:t>
      </w:r>
    </w:p>
    <w:p w14:paraId="46307AD7">
      <w:pPr>
        <w:jc w:val="both"/>
      </w:pPr>
      <w:r>
        <w:rPr>
          <w:rFonts w:ascii="Times New Roman" w:hAnsi="Times New Roman"/>
          <w:sz w:val="20"/>
        </w:rPr>
        <w:t>participant M as Market Data Feeds</w:t>
      </w:r>
    </w:p>
    <w:p w14:paraId="3EE1E7A2">
      <w:pPr>
        <w:jc w:val="both"/>
      </w:pPr>
      <w:r>
        <w:rPr>
          <w:rFonts w:ascii="Times New Roman" w:hAnsi="Times New Roman"/>
          <w:sz w:val="20"/>
        </w:rPr>
        <w:t>participant N as News/Social Media</w:t>
      </w:r>
    </w:p>
    <w:p w14:paraId="3F4890DE">
      <w:pPr>
        <w:jc w:val="both"/>
      </w:pPr>
      <w:r>
        <w:rPr>
          <w:rFonts w:ascii="Times New Roman" w:hAnsi="Times New Roman"/>
          <w:sz w:val="20"/>
        </w:rPr>
        <w:t>participant AI as AI Surveillance Engine</w:t>
      </w:r>
    </w:p>
    <w:p w14:paraId="6B4682E1">
      <w:pPr>
        <w:jc w:val="both"/>
      </w:pPr>
      <w:r>
        <w:rPr>
          <w:rFonts w:ascii="Times New Roman" w:hAnsi="Times New Roman"/>
          <w:sz w:val="20"/>
        </w:rPr>
        <w:t>participant A as Analyst Alert Dashboard</w:t>
      </w:r>
    </w:p>
    <w:p w14:paraId="65F14C82">
      <w:pPr>
        <w:jc w:val="both"/>
      </w:pPr>
      <w:r>
        <w:rPr>
          <w:rFonts w:ascii="Times New Roman" w:hAnsi="Times New Roman"/>
          <w:sz w:val="20"/>
        </w:rPr>
        <w:t>M-&gt;&gt;AI: Streaming Trade &amp; Order Data</w:t>
      </w:r>
    </w:p>
    <w:p w14:paraId="15630C06">
      <w:pPr>
        <w:jc w:val="both"/>
      </w:pPr>
      <w:r>
        <w:rPr>
          <w:rFonts w:ascii="Times New Roman" w:hAnsi="Times New Roman"/>
          <w:sz w:val="20"/>
        </w:rPr>
        <w:t>N-&gt;&gt;AI: Unstructured Text Data</w:t>
      </w:r>
    </w:p>
    <w:p w14:paraId="47A7F3E3">
      <w:pPr>
        <w:jc w:val="both"/>
      </w:pPr>
      <w:r>
        <w:rPr>
          <w:rFonts w:ascii="Times New Roman" w:hAnsi="Times New Roman"/>
          <w:sz w:val="20"/>
        </w:rPr>
        <w:t>loop Continuous Analysis</w:t>
      </w:r>
    </w:p>
    <w:p w14:paraId="6BD8A66E">
      <w:pPr>
        <w:jc w:val="both"/>
      </w:pPr>
      <w:r>
        <w:rPr>
          <w:rFonts w:ascii="Times New Roman" w:hAnsi="Times New Roman"/>
          <w:sz w:val="20"/>
        </w:rPr>
        <w:t>AI-&gt;&gt;AI: NLP for Sentiment &amp; Event Extraction</w:t>
      </w:r>
    </w:p>
    <w:p w14:paraId="11203B6A">
      <w:pPr>
        <w:jc w:val="both"/>
      </w:pPr>
      <w:r>
        <w:rPr>
          <w:rFonts w:ascii="Times New Roman" w:hAnsi="Times New Roman"/>
          <w:sz w:val="20"/>
        </w:rPr>
        <w:t>AI-&gt;&gt;AI: ML Anomaly Detection on Trading Patterns</w:t>
      </w:r>
    </w:p>
    <w:p w14:paraId="58139690">
      <w:pPr>
        <w:jc w:val="both"/>
      </w:pPr>
      <w:r>
        <w:rPr>
          <w:rFonts w:ascii="Times New Roman" w:hAnsi="Times New Roman"/>
          <w:sz w:val="20"/>
        </w:rPr>
        <w:t>AI-&gt;&gt;AI: Cross-Signal Correlation &amp; Scoring</w:t>
      </w:r>
    </w:p>
    <w:p w14:paraId="631B80F8">
      <w:pPr>
        <w:jc w:val="both"/>
      </w:pPr>
      <w:r>
        <w:rPr>
          <w:rFonts w:ascii="Times New Roman" w:hAnsi="Times New Roman"/>
          <w:sz w:val="20"/>
        </w:rPr>
        <w:t>end</w:t>
      </w:r>
    </w:p>
    <w:p w14:paraId="3AA292B4">
      <w:pPr>
        <w:jc w:val="both"/>
      </w:pPr>
      <w:r>
        <w:rPr>
          <w:rFonts w:ascii="Times New Roman" w:hAnsi="Times New Roman"/>
          <w:sz w:val="20"/>
        </w:rPr>
        <w:t>AI-&gt;&gt;A: Prioritized Alert: &lt;br/&gt;Potential Insider Trading &lt;br/&gt;(Confidence Score: 92%)</w:t>
      </w:r>
    </w:p>
    <w:p w14:paraId="250A145F">
      <w:pPr>
        <w:jc w:val="both"/>
      </w:pPr>
      <w:r>
        <w:rPr>
          <w:rFonts w:ascii="Times New Roman" w:hAnsi="Times New Roman"/>
          <w:sz w:val="20"/>
        </w:rPr>
        <w:t>The outcomes of deploying AI-powered surveillance are multi-faceted. The most direct is enhanced detection efficacy. Nasdaq reports that AI-driven surveillance identifies more complex and sophisticated market abuse schemes with fewer false positives than legacy systems, allowing exchange regulators and client compliance teams to focus their limited resources more effectively. This improves the overall integrity of the markets it operates and services. Furthermore, this capability is a product in itself; Nasdaq licenses SMARTS to over 45 market regulators and 130 market participants worldwide, making it a significant commercial venture in the growing RegTech segment [Humanities and Social Sciences Communications, 2025]. This case study powerfully illustrates the dual role of AI in finance: it is both the source of new complexities and risks (e.g., algorithmic trading speed and opacity) and the essential tool for managing them. Nasdaq’s work embodies the research finding on RegTech’s role in governing innovation, using AI to supervise the AI-driven market itself [IOSCO, n.d.]. The ongoing challenge, shared with JPMorgan’s risk systems, is ensuring the surveillance AI itself remains transparent and accountable to regulators, avoiding a scenario where inscrutable algorithms are tasked with policing other inscrutable algorithms.</w:t>
      </w:r>
    </w:p>
    <w:p w14:paraId="1DC71783">
      <w:pPr>
        <w:jc w:val="both"/>
      </w:pPr>
      <w:r>
        <w:rPr>
          <w:rFonts w:ascii="Times New Roman" w:hAnsi="Times New Roman"/>
          <w:sz w:val="20"/>
        </w:rPr>
        <w:t>In conclusion, these three narratives—spanning a global bank, a lending disruptor, and a market infrastructure provider—collectively map the expansive territory of AI+Finance. They confirm the massive market growth and adoption statistics, demonstrate the practical application of core AI methodologies, and highlight the intricate interplay between innovation and regulation. The journey from expert systems to deep learning is now yielding tangible, scaled outcomes, but as these cases reveal, the path forward is defined by an endless pursuit of balance: between efficiency and resilience, between inclusion and fairness, and between algorithmic power and human oversight.</w:t>
      </w:r>
    </w:p>
    <w:p w14:paraId="4D2BBFCF">
      <w:pPr>
        <w:pStyle w:val="4"/>
      </w:pPr>
      <w:r>
        <w:rPr>
          <w:rFonts w:ascii="Times New Roman" w:hAnsi="Times New Roman"/>
          <w:sz w:val="24"/>
        </w:rPr>
        <w:t>6. Comparative Analysis</w:t>
      </w:r>
    </w:p>
    <w:p w14:paraId="1F303E0E">
      <w:pPr>
        <w:jc w:val="both"/>
      </w:pPr>
      <w:r>
        <w:rPr>
          <w:rFonts w:ascii="Times New Roman" w:hAnsi="Times New Roman"/>
          <w:sz w:val="20"/>
        </w:rPr>
        <w:t>The integration of artificial intelligence into the financial sector is not a monolithic phenomenon but a complex tapestry woven from distinct technological approaches, each with its own historical lineage, technical mechanisms, and suitability for specific financial tasks. A comparative analysis of these approaches—spanning early expert systems, classical machine learning, deep learning, and emerging paradigms like reinforcement learning—reveals an evolutionary trajectory defined by increasing data complexity, computational autonomy, and predictive sophistication. This progression mirrors the broader digital transformation of finance, from automating static, rule-based processes to enabling dynamic, adaptive systems that learn from vast, heterogeneous data streams [OECD, 2021]. Understanding the comparative strengths, limitations, and optimal applications of each approach is crucial for both practitioners deploying these technologies and regulators overseeing their safe integration into the financial system. This section will analyze these core methodologies, examining their operational principles, historical context, and performance across key financial domains such as credit assessment, algorithmic trading, and fraud detection, thereby providing a framework for strategic technological adoption.</w:t>
      </w:r>
    </w:p>
    <w:p w14:paraId="15E5D03C">
      <w:pPr>
        <w:jc w:val="both"/>
      </w:pPr>
      <w:r>
        <w:rPr>
          <w:rFonts w:ascii="Times New Roman" w:hAnsi="Times New Roman"/>
          <w:sz w:val="20"/>
        </w:rPr>
        <w:t>The historical foundation of AI in finance was built upon expert systems, which dominated the landscape from the 1980s through the early 2000s. These systems were essentially sophisticated rule engines that codified the knowledge of human domain experts into a series of deterministic "if-then" logical statements [ResearchGate, 2024]. In practice, this meant a credit scoring model might reject an application if the applicant's debt-to-income ratio exceeded a specific, pre-programmed threshold, or a fraud detection system would flag a transaction if it originated from a geographic location not on the customer's pre-approved list. The primary advantage of this approach was its high degree of transparency and interpretability; the logic behind any decision could be traced directly to a clear, human-readable rule, which aligned well with early regulatory expectations and audit requirements [Computer.org, n.d.]. Furthermore, these systems were relatively stable and predictable within the bounds of their programmed knowledge. However, their limitations were severe and ultimately catalyzed the shift to more advanced methods. Expert systems were notoriously brittle; they could not handle novel scenarios or data patterns not explicitly anticipated by their programmers. They lacked any capacity to learn or improve from new data, requiring costly and time-consuming manual updates by knowledge engineers. As financial markets grew in complexity and data volume exploded with the advent of digital records and the internet, the static nature of expert systems rendered them inadequate for tasks requiring pattern recognition, adaptation, or prediction in dynamic environments [DualMedia Innovation News, n.d.].</w:t>
      </w:r>
    </w:p>
    <w:p w14:paraId="665EDDAB">
      <w:pPr>
        <w:jc w:val="both"/>
      </w:pPr>
      <w:r>
        <w:rPr>
          <w:rFonts w:ascii="Times New Roman" w:hAnsi="Times New Roman"/>
          <w:sz w:val="20"/>
        </w:rPr>
        <w:t>The rise of classical machine learning (ML) in the late 1990s and 2000s marked a paradigm shift from programmed logic to learned patterns, addressing the core inflexibility of expert systems [Medium, n.d.]. This category encompasses a suite of algorithms—including logistic regression, decision trees, random forests, and support vector machines—that identify statistical relationships within labeled historical data to make predictions or classifications. Unlike expert systems, ML models are not given explicit rules but are instead "trained" on datasets where the correct outcome (e.g., "default" or "non-default") is known, allowing them to infer the complex, often non-linear, combinations of features that lead to a particular result [Quinn, 2023]. This capability revolutionized areas like credit scoring, where models could incorporate dozens of variables and their interactions to produce a more nuanced risk score than a simple rule set allowed. Similarly, in fraud detection, ML models could learn the subtle patterns of legitimate customer behavior and flag deviations, a significant improvement over rigid, rule-based blocklists [FSB, 2017]. The interpretability of these models varies; while linear models are transparent, ensemble methods like random forests are more opaque, though techniques like feature importance could provide some insight. The principal limitation of classical ML is its dependence on carefully curated, structured feature engineering. Domain experts must pre-select and potentially transform the raw data (e.g., creating ratios, aggregating transactions) into the informative "features" the model uses, a process that is both art and science. Furthermore, these models typically struggle with unstructured data like text, images, or complex time-series patterns, which constrained their application until the next technological leap.</w:t>
      </w:r>
    </w:p>
    <w:p w14:paraId="7582C453">
      <w:pPr>
        <w:jc w:val="both"/>
      </w:pPr>
      <w:r>
        <w:rPr>
          <w:rFonts w:ascii="Times New Roman" w:hAnsi="Times New Roman"/>
          <w:sz w:val="20"/>
        </w:rPr>
        <w:t>The advent of deep learning, particularly after 2010 with advances in computational power (GPUs) and the availability of massive datasets, introduced a transformative approach capable of automating feature extraction from raw, high-dimensional data. Deep learning architectures, such as convolutional neural networks (CNNs) and recurrent neural networks (RNNs), use multiple layers of interconnected nodes to progressively learn hierarchical representations of data [GeeksforGeeks, n.d.]. In finance, this has unlocked the value of previously underutilized data types. Natural Language Processing (NLP), powered by deep learning models, can now parse earnings reports, news articles, and social media sentiment at scale to inform trading strategies or risk assessments, moving beyond numerical data alone [ResearchGate, 2024]. Computer vision, another deep learning application, automates the extraction of information from scanned documents, checks, and identity papers, dramatically streamlining back-office operations in banking and insurance. For complex time-series forecasting, such as high-frequency trading, deep learning models can identify intricate temporal dependencies in market data that elude simpler ML techniques. The primary strength of deep learning is its superior predictive performance on tasks involving rich, unstructured data. Its key weakness, however, is the "black box" problem; the internal representations learned by deep neural networks are often inscrutable to human observers, raising significant challenges for model validation, regulatory compliance, and ethical accountability [Humanities and Social Sciences Communications, 2025]. This trade-off between high performance and low explainability defines the current dilemma in deploying deep learning for critical financial functions.</w:t>
      </w:r>
    </w:p>
    <w:p w14:paraId="5D0159E3">
      <w:pPr>
        <w:jc w:val="both"/>
      </w:pPr>
      <w:r>
        <w:rPr>
          <w:rFonts w:ascii="Times New Roman" w:hAnsi="Times New Roman"/>
          <w:sz w:val="20"/>
        </w:rPr>
        <w:t>A more recent and specialized paradigm is reinforcement learning (RL), which represents a shift from passive pattern recognition to active, sequential decision-making. Unlike supervised learning (used in most ML and deep learning), which learns from a static historical dataset, an RL agent learns by interacting with a dynamic environment, taking actions, and receiving rewards or penalties as feedback [GeeksforGeeks, n.d.]. Its goal is to discover a policy—a strategy for action selection—that maximizes cumulative long-term reward. This framework is uniquely suited for financial problems that are inherently sequential and strategic, such as optimal trade execution (where an agent must balance urgency with market impact), dynamic portfolio allocation, and market-making. An RL agent can learn to navigate complex, multi-dimensional state spaces that include market prices, order book depth, and inventory risk, adapting its strategy in real-time. The promise of RL is its potential to discover novel, high-performing strategies that human traders or static algorithms might not conceive. However, its practical application in live markets is fraught with challenges. Financial markets are non-stationary, meaning the relationships the agent learns during training may break down. The cost of exploration (trial-and-error learning) can be prohibitively high with real capital, and there is a persistent risk that the agent will learn to exploit peculiarities of a simulated environment that do not exist in reality, leading to catastrophic failures upon deployment. Consequently, RL remains largely in the research and sophisticated quantitative trading domain, requiring robust simulation frameworks and stringent risk controls.</w:t>
      </w:r>
    </w:p>
    <w:p w14:paraId="3695F6F5">
      <w:pPr>
        <w:jc w:val="both"/>
      </w:pPr>
      <w:r>
        <w:rPr>
          <w:rFonts w:ascii="Times New Roman" w:hAnsi="Times New Roman"/>
          <w:sz w:val="20"/>
        </w:rPr>
        <w:t>To synthesize this comparative landscape, the following table contrasts the four primary AI approaches across key dimensions relevant to financial applications:</w:t>
      </w:r>
    </w:p>
    <w:p w14:paraId="3B63C6A0">
      <w:pPr>
        <w:jc w:val="both"/>
      </w:pPr>
      <w:r>
        <w:rPr>
          <w:rFonts w:ascii="Times New Roman" w:hAnsi="Times New Roman"/>
          <w:sz w:val="20"/>
        </w:rPr>
        <w:t>Table 1: Comparative Analysis of AI Approaches in Finance</w:t>
      </w:r>
    </w:p>
    <w:p w14:paraId="245E767B">
      <w:pPr>
        <w:jc w:val="center"/>
      </w:pPr>
      <w:r>
        <w:rPr>
          <w:b/>
          <w:sz w:val="18"/>
        </w:rPr>
        <w:t>Table 2.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2046"/>
        <w:gridCol w:w="1872"/>
        <w:gridCol w:w="1872"/>
      </w:tblGrid>
      <w:tr w14:paraId="2CD3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F3D34D8">
            <w:pPr>
              <w:spacing w:after="0" w:line="240" w:lineRule="auto"/>
            </w:pPr>
            <w:r>
              <w:rPr>
                <w:rFonts w:ascii="Times New Roman" w:hAnsi="Times New Roman"/>
                <w:b/>
                <w:sz w:val="18"/>
              </w:rPr>
              <w:t>Dimension</w:t>
            </w:r>
          </w:p>
        </w:tc>
        <w:tc>
          <w:tcPr>
            <w:tcW w:w="1872" w:type="dxa"/>
          </w:tcPr>
          <w:p w14:paraId="1795426E">
            <w:pPr>
              <w:spacing w:after="0" w:line="240" w:lineRule="auto"/>
            </w:pPr>
            <w:r>
              <w:rPr>
                <w:rFonts w:ascii="Times New Roman" w:hAnsi="Times New Roman"/>
                <w:b/>
                <w:sz w:val="18"/>
              </w:rPr>
              <w:t>Expert Systems (1980s-)</w:t>
            </w:r>
          </w:p>
        </w:tc>
        <w:tc>
          <w:tcPr>
            <w:tcW w:w="1872" w:type="dxa"/>
          </w:tcPr>
          <w:p w14:paraId="1B2EFBBC">
            <w:pPr>
              <w:spacing w:after="0" w:line="240" w:lineRule="auto"/>
            </w:pPr>
            <w:r>
              <w:rPr>
                <w:rFonts w:ascii="Times New Roman" w:hAnsi="Times New Roman"/>
                <w:b/>
                <w:sz w:val="18"/>
              </w:rPr>
              <w:t>Classical Machine Learning (1990s-)</w:t>
            </w:r>
          </w:p>
        </w:tc>
        <w:tc>
          <w:tcPr>
            <w:tcW w:w="1872" w:type="dxa"/>
          </w:tcPr>
          <w:p w14:paraId="3CAF1FDE">
            <w:pPr>
              <w:spacing w:after="0" w:line="240" w:lineRule="auto"/>
            </w:pPr>
            <w:r>
              <w:rPr>
                <w:rFonts w:ascii="Times New Roman" w:hAnsi="Times New Roman"/>
                <w:b/>
                <w:sz w:val="18"/>
              </w:rPr>
              <w:t>Deep Learning (2010s-)</w:t>
            </w:r>
          </w:p>
        </w:tc>
        <w:tc>
          <w:tcPr>
            <w:tcW w:w="1872" w:type="dxa"/>
          </w:tcPr>
          <w:p w14:paraId="72296701">
            <w:pPr>
              <w:spacing w:after="0" w:line="240" w:lineRule="auto"/>
            </w:pPr>
            <w:r>
              <w:rPr>
                <w:rFonts w:ascii="Times New Roman" w:hAnsi="Times New Roman"/>
                <w:b/>
                <w:sz w:val="18"/>
              </w:rPr>
              <w:t>Reinforcement Learning (2010s-)</w:t>
            </w:r>
          </w:p>
        </w:tc>
      </w:tr>
      <w:tr w14:paraId="3DBA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C5C7250">
            <w:pPr>
              <w:spacing w:after="0" w:line="240" w:lineRule="auto"/>
            </w:pPr>
            <w:r>
              <w:rPr>
                <w:rFonts w:ascii="Times New Roman" w:hAnsi="Times New Roman"/>
                <w:sz w:val="18"/>
              </w:rPr>
              <w:t>Core Paradigm</w:t>
            </w:r>
          </w:p>
        </w:tc>
        <w:tc>
          <w:tcPr>
            <w:tcW w:w="1872" w:type="dxa"/>
          </w:tcPr>
          <w:p w14:paraId="754D6C5C">
            <w:pPr>
              <w:spacing w:after="0" w:line="240" w:lineRule="auto"/>
            </w:pPr>
            <w:r>
              <w:rPr>
                <w:rFonts w:ascii="Times New Roman" w:hAnsi="Times New Roman"/>
                <w:sz w:val="18"/>
              </w:rPr>
              <w:t>Rule-based, symbolic logic.</w:t>
            </w:r>
          </w:p>
        </w:tc>
        <w:tc>
          <w:tcPr>
            <w:tcW w:w="1872" w:type="dxa"/>
          </w:tcPr>
          <w:p w14:paraId="44C04CEC">
            <w:pPr>
              <w:spacing w:after="0" w:line="240" w:lineRule="auto"/>
            </w:pPr>
            <w:r>
              <w:rPr>
                <w:rFonts w:ascii="Times New Roman" w:hAnsi="Times New Roman"/>
                <w:sz w:val="18"/>
              </w:rPr>
              <w:t>Statistical learning from labeled data.</w:t>
            </w:r>
          </w:p>
        </w:tc>
        <w:tc>
          <w:tcPr>
            <w:tcW w:w="1872" w:type="dxa"/>
          </w:tcPr>
          <w:p w14:paraId="10D154DD">
            <w:pPr>
              <w:spacing w:after="0" w:line="240" w:lineRule="auto"/>
            </w:pPr>
            <w:r>
              <w:rPr>
                <w:rFonts w:ascii="Times New Roman" w:hAnsi="Times New Roman"/>
                <w:sz w:val="18"/>
              </w:rPr>
              <w:t>Learning hierarchical features from raw data.</w:t>
            </w:r>
          </w:p>
        </w:tc>
        <w:tc>
          <w:tcPr>
            <w:tcW w:w="1872" w:type="dxa"/>
          </w:tcPr>
          <w:p w14:paraId="46AF0B89">
            <w:pPr>
              <w:spacing w:after="0" w:line="240" w:lineRule="auto"/>
            </w:pPr>
            <w:r>
              <w:rPr>
                <w:rFonts w:ascii="Times New Roman" w:hAnsi="Times New Roman"/>
                <w:sz w:val="18"/>
              </w:rPr>
              <w:t>Learning optimal actions through environment interaction.</w:t>
            </w:r>
          </w:p>
        </w:tc>
      </w:tr>
      <w:tr w14:paraId="0E65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0048486">
            <w:pPr>
              <w:spacing w:after="0" w:line="240" w:lineRule="auto"/>
            </w:pPr>
            <w:r>
              <w:rPr>
                <w:rFonts w:ascii="Times New Roman" w:hAnsi="Times New Roman"/>
                <w:sz w:val="18"/>
              </w:rPr>
              <w:t>Key Strengths</w:t>
            </w:r>
          </w:p>
        </w:tc>
        <w:tc>
          <w:tcPr>
            <w:tcW w:w="1872" w:type="dxa"/>
          </w:tcPr>
          <w:p w14:paraId="2BF77EE5">
            <w:pPr>
              <w:spacing w:after="0" w:line="240" w:lineRule="auto"/>
            </w:pPr>
            <w:r>
              <w:rPr>
                <w:rFonts w:ascii="Times New Roman" w:hAnsi="Times New Roman"/>
                <w:sz w:val="18"/>
              </w:rPr>
              <w:t>High transparency, interpretability, stability within rules.</w:t>
            </w:r>
          </w:p>
        </w:tc>
        <w:tc>
          <w:tcPr>
            <w:tcW w:w="1872" w:type="dxa"/>
          </w:tcPr>
          <w:p w14:paraId="0AB50AF4">
            <w:pPr>
              <w:spacing w:after="0" w:line="240" w:lineRule="auto"/>
            </w:pPr>
            <w:r>
              <w:rPr>
                <w:rFonts w:ascii="Times New Roman" w:hAnsi="Times New Roman"/>
                <w:sz w:val="18"/>
              </w:rPr>
              <w:t>Handles complex, non-linear patterns; better generalization than rules.</w:t>
            </w:r>
          </w:p>
        </w:tc>
        <w:tc>
          <w:tcPr>
            <w:tcW w:w="1872" w:type="dxa"/>
          </w:tcPr>
          <w:p w14:paraId="0DC6EC02">
            <w:pPr>
              <w:spacing w:after="0" w:line="240" w:lineRule="auto"/>
            </w:pPr>
            <w:r>
              <w:rPr>
                <w:rFonts w:ascii="Times New Roman" w:hAnsi="Times New Roman"/>
                <w:sz w:val="18"/>
              </w:rPr>
              <w:t>Superior performance on unstructured data (text, image, complex sequences); automated feature learning.</w:t>
            </w:r>
          </w:p>
        </w:tc>
        <w:tc>
          <w:tcPr>
            <w:tcW w:w="1872" w:type="dxa"/>
          </w:tcPr>
          <w:p w14:paraId="6BD5BAF0">
            <w:pPr>
              <w:spacing w:after="0" w:line="240" w:lineRule="auto"/>
            </w:pPr>
            <w:r>
              <w:rPr>
                <w:rFonts w:ascii="Times New Roman" w:hAnsi="Times New Roman"/>
                <w:sz w:val="18"/>
              </w:rPr>
              <w:t>Optimizes sequential, strategic decision-making; adapts to dynamic environments.</w:t>
            </w:r>
          </w:p>
        </w:tc>
      </w:tr>
      <w:tr w14:paraId="77B0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34834E2">
            <w:pPr>
              <w:spacing w:after="0" w:line="240" w:lineRule="auto"/>
            </w:pPr>
            <w:r>
              <w:rPr>
                <w:rFonts w:ascii="Times New Roman" w:hAnsi="Times New Roman"/>
                <w:sz w:val="18"/>
              </w:rPr>
              <w:t>Primary Limitations</w:t>
            </w:r>
          </w:p>
        </w:tc>
        <w:tc>
          <w:tcPr>
            <w:tcW w:w="1872" w:type="dxa"/>
          </w:tcPr>
          <w:p w14:paraId="70857F61">
            <w:pPr>
              <w:spacing w:after="0" w:line="240" w:lineRule="auto"/>
            </w:pPr>
            <w:r>
              <w:rPr>
                <w:rFonts w:ascii="Times New Roman" w:hAnsi="Times New Roman"/>
                <w:sz w:val="18"/>
              </w:rPr>
              <w:t>Brittle, cannot learn, poor scalability, manual rule maintenance.</w:t>
            </w:r>
          </w:p>
        </w:tc>
        <w:tc>
          <w:tcPr>
            <w:tcW w:w="1872" w:type="dxa"/>
          </w:tcPr>
          <w:p w14:paraId="422B7A62">
            <w:pPr>
              <w:spacing w:after="0" w:line="240" w:lineRule="auto"/>
            </w:pPr>
            <w:r>
              <w:rPr>
                <w:rFonts w:ascii="Times New Roman" w:hAnsi="Times New Roman"/>
                <w:sz w:val="18"/>
              </w:rPr>
              <w:t>Dependent on manual feature engineering; struggles with very high-dimensional/unstructured data.</w:t>
            </w:r>
          </w:p>
        </w:tc>
        <w:tc>
          <w:tcPr>
            <w:tcW w:w="1872" w:type="dxa"/>
          </w:tcPr>
          <w:p w14:paraId="3F5ADAEC">
            <w:pPr>
              <w:spacing w:after="0" w:line="240" w:lineRule="auto"/>
            </w:pPr>
            <w:r>
              <w:rPr>
                <w:rFonts w:ascii="Times New Roman" w:hAnsi="Times New Roman"/>
                <w:sz w:val="18"/>
              </w:rPr>
              <w:t>"Black box" nature (low explainability); requires massive data and compute; prone to overfitting.</w:t>
            </w:r>
          </w:p>
        </w:tc>
        <w:tc>
          <w:tcPr>
            <w:tcW w:w="1872" w:type="dxa"/>
          </w:tcPr>
          <w:p w14:paraId="764BD44C">
            <w:pPr>
              <w:spacing w:after="0" w:line="240" w:lineRule="auto"/>
            </w:pPr>
            <w:r>
              <w:rPr>
                <w:rFonts w:ascii="Times New Roman" w:hAnsi="Times New Roman"/>
                <w:sz w:val="18"/>
              </w:rPr>
              <w:t>High implementation complexity; non-stationarity of markets; risky exploration phase; simulation-to-reality gap.</w:t>
            </w:r>
          </w:p>
        </w:tc>
      </w:tr>
      <w:tr w14:paraId="38A68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BAB32CC">
            <w:pPr>
              <w:spacing w:after="0" w:line="240" w:lineRule="auto"/>
            </w:pPr>
            <w:r>
              <w:rPr>
                <w:rFonts w:ascii="Times New Roman" w:hAnsi="Times New Roman"/>
                <w:sz w:val="18"/>
              </w:rPr>
              <w:t>Typical Finance Use Cases</w:t>
            </w:r>
          </w:p>
        </w:tc>
        <w:tc>
          <w:tcPr>
            <w:tcW w:w="1872" w:type="dxa"/>
          </w:tcPr>
          <w:p w14:paraId="6AE03D45">
            <w:pPr>
              <w:spacing w:after="0" w:line="240" w:lineRule="auto"/>
            </w:pPr>
            <w:r>
              <w:rPr>
                <w:rFonts w:ascii="Times New Roman" w:hAnsi="Times New Roman"/>
                <w:sz w:val="18"/>
              </w:rPr>
              <w:t>Early credit approval rules, basic fraud detection flags, simple diagnostic tools.</w:t>
            </w:r>
          </w:p>
        </w:tc>
        <w:tc>
          <w:tcPr>
            <w:tcW w:w="1872" w:type="dxa"/>
          </w:tcPr>
          <w:p w14:paraId="599E044B">
            <w:pPr>
              <w:spacing w:after="0" w:line="240" w:lineRule="auto"/>
            </w:pPr>
            <w:r>
              <w:rPr>
                <w:rFonts w:ascii="Times New Roman" w:hAnsi="Times New Roman"/>
                <w:sz w:val="18"/>
              </w:rPr>
              <w:t>Credit scoring, customer segmentation, traditional fraud detection, marketing propensity models.</w:t>
            </w:r>
          </w:p>
        </w:tc>
        <w:tc>
          <w:tcPr>
            <w:tcW w:w="1872" w:type="dxa"/>
          </w:tcPr>
          <w:p w14:paraId="6ACD9141">
            <w:pPr>
              <w:spacing w:after="0" w:line="240" w:lineRule="auto"/>
            </w:pPr>
            <w:r>
              <w:rPr>
                <w:rFonts w:ascii="Times New Roman" w:hAnsi="Times New Roman"/>
                <w:sz w:val="18"/>
              </w:rPr>
              <w:t>News/sentiment analysis (NLP), document processing (CV), algorithmic trading on complex signals, advanced fraud detection.</w:t>
            </w:r>
          </w:p>
        </w:tc>
        <w:tc>
          <w:tcPr>
            <w:tcW w:w="1872" w:type="dxa"/>
          </w:tcPr>
          <w:p w14:paraId="029F5C64">
            <w:pPr>
              <w:spacing w:after="0" w:line="240" w:lineRule="auto"/>
            </w:pPr>
            <w:r>
              <w:rPr>
                <w:rFonts w:ascii="Times New Roman" w:hAnsi="Times New Roman"/>
                <w:sz w:val="18"/>
              </w:rPr>
              <w:t>Optimal trade execution, dynamic portfolio management, market-making strategies.</w:t>
            </w:r>
          </w:p>
        </w:tc>
      </w:tr>
      <w:tr w14:paraId="30642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6543DAC">
            <w:pPr>
              <w:spacing w:after="0" w:line="240" w:lineRule="auto"/>
            </w:pPr>
            <w:r>
              <w:rPr>
                <w:rFonts w:ascii="Times New Roman" w:hAnsi="Times New Roman"/>
                <w:sz w:val="18"/>
              </w:rPr>
              <w:t>Data Requirement</w:t>
            </w:r>
          </w:p>
        </w:tc>
        <w:tc>
          <w:tcPr>
            <w:tcW w:w="1872" w:type="dxa"/>
          </w:tcPr>
          <w:p w14:paraId="35055AC9">
            <w:pPr>
              <w:spacing w:after="0" w:line="240" w:lineRule="auto"/>
            </w:pPr>
            <w:r>
              <w:rPr>
                <w:rFonts w:ascii="Times New Roman" w:hAnsi="Times New Roman"/>
                <w:sz w:val="18"/>
              </w:rPr>
              <w:t>Structured data fitting pre-defined logical categories.</w:t>
            </w:r>
          </w:p>
        </w:tc>
        <w:tc>
          <w:tcPr>
            <w:tcW w:w="1872" w:type="dxa"/>
          </w:tcPr>
          <w:p w14:paraId="5A369E37">
            <w:pPr>
              <w:spacing w:after="0" w:line="240" w:lineRule="auto"/>
            </w:pPr>
            <w:r>
              <w:rPr>
                <w:rFonts w:ascii="Times New Roman" w:hAnsi="Times New Roman"/>
                <w:sz w:val="18"/>
              </w:rPr>
              <w:t>Structured, labeled data with informative engineered features.</w:t>
            </w:r>
          </w:p>
        </w:tc>
        <w:tc>
          <w:tcPr>
            <w:tcW w:w="1872" w:type="dxa"/>
          </w:tcPr>
          <w:p w14:paraId="5D01D3C0">
            <w:pPr>
              <w:spacing w:after="0" w:line="240" w:lineRule="auto"/>
            </w:pPr>
            <w:r>
              <w:rPr>
                <w:rFonts w:ascii="Times New Roman" w:hAnsi="Times New Roman"/>
                <w:sz w:val="18"/>
              </w:rPr>
              <w:t>Very large volumes of raw data (text, images, time-series).</w:t>
            </w:r>
          </w:p>
        </w:tc>
        <w:tc>
          <w:tcPr>
            <w:tcW w:w="1872" w:type="dxa"/>
          </w:tcPr>
          <w:p w14:paraId="57A44DBC">
            <w:pPr>
              <w:spacing w:after="0" w:line="240" w:lineRule="auto"/>
            </w:pPr>
            <w:r>
              <w:rPr>
                <w:rFonts w:ascii="Times New Roman" w:hAnsi="Times New Roman"/>
                <w:sz w:val="18"/>
              </w:rPr>
              <w:t>Interactive environment or high-fidelity simulator for sequential decision states.</w:t>
            </w:r>
          </w:p>
        </w:tc>
      </w:tr>
      <w:tr w14:paraId="4716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7C9C14A">
            <w:pPr>
              <w:spacing w:after="0" w:line="240" w:lineRule="auto"/>
            </w:pPr>
            <w:r>
              <w:rPr>
                <w:rFonts w:ascii="Times New Roman" w:hAnsi="Times New Roman"/>
                <w:sz w:val="18"/>
              </w:rPr>
              <w:t>Explainability</w:t>
            </w:r>
          </w:p>
        </w:tc>
        <w:tc>
          <w:tcPr>
            <w:tcW w:w="1872" w:type="dxa"/>
          </w:tcPr>
          <w:p w14:paraId="08ECA8BD">
            <w:pPr>
              <w:spacing w:after="0" w:line="240" w:lineRule="auto"/>
            </w:pPr>
            <w:r>
              <w:rPr>
                <w:rFonts w:ascii="Times New Roman" w:hAnsi="Times New Roman"/>
                <w:sz w:val="18"/>
              </w:rPr>
              <w:t>Very High.</w:t>
            </w:r>
          </w:p>
        </w:tc>
        <w:tc>
          <w:tcPr>
            <w:tcW w:w="1872" w:type="dxa"/>
          </w:tcPr>
          <w:p w14:paraId="03D54120">
            <w:pPr>
              <w:spacing w:after="0" w:line="240" w:lineRule="auto"/>
            </w:pPr>
            <w:r>
              <w:rPr>
                <w:rFonts w:ascii="Times New Roman" w:hAnsi="Times New Roman"/>
                <w:sz w:val="18"/>
              </w:rPr>
              <w:t>Moderate to High (model-dependent).</w:t>
            </w:r>
          </w:p>
        </w:tc>
        <w:tc>
          <w:tcPr>
            <w:tcW w:w="1872" w:type="dxa"/>
          </w:tcPr>
          <w:p w14:paraId="5FE63FEF">
            <w:pPr>
              <w:spacing w:after="0" w:line="240" w:lineRule="auto"/>
            </w:pPr>
            <w:r>
              <w:rPr>
                <w:rFonts w:ascii="Times New Roman" w:hAnsi="Times New Roman"/>
                <w:sz w:val="18"/>
              </w:rPr>
              <w:t>Very Low.</w:t>
            </w:r>
          </w:p>
        </w:tc>
        <w:tc>
          <w:tcPr>
            <w:tcW w:w="1872" w:type="dxa"/>
          </w:tcPr>
          <w:p w14:paraId="3E775075">
            <w:pPr>
              <w:spacing w:after="0" w:line="240" w:lineRule="auto"/>
            </w:pPr>
            <w:r>
              <w:rPr>
                <w:rFonts w:ascii="Times New Roman" w:hAnsi="Times New Roman"/>
                <w:sz w:val="18"/>
              </w:rPr>
              <w:t>Very Low.</w:t>
            </w:r>
          </w:p>
        </w:tc>
      </w:tr>
    </w:tbl>
    <w:p w14:paraId="0E85222D"/>
    <w:p w14:paraId="2D0FC470">
      <w:pPr>
        <w:jc w:val="both"/>
      </w:pPr>
      <w:r>
        <w:rPr>
          <w:rFonts w:ascii="Times New Roman" w:hAnsi="Times New Roman"/>
          <w:sz w:val="20"/>
        </w:rPr>
        <w:t>The choice of AI methodology is not merely a technical decision but a strategic one that balances performance objectives with operational constraints and regulatory expectations. A practical decision framework for financial institutions can be visualized as a flow that prioritizes core requirements. The process begins by assessing the primary need: if the requirement is for a fully interpretable, auditable decision process for highly regulated tasks (e.g., regulatory capital calculation, explainable credit denial), expert systems or highly interpretable classical ML models like logistic regression may be mandated, despite potential performance trade-offs [IOSCO, n.d.]. If the priority is predictive accuracy on structured data for tasks like marketing churn prediction, classical ML ensembles (random forests, gradient boosting) often provide an optimal balance. When the application involves unstructured data (text, documents, speech) or extremely complex patterns in structured data (e.g., high-frequency market micro-structure), deep learning becomes the leading candidate, provided the institution can address the explainability challenge through techniques like LIME or SHAP or can justify the model's use in a non-interpretable manner. Finally, if the problem is fundamentally about making a sequence of decisions to optimize a long-term financial outcome in a dynamic setting, reinforcement learning is the appropriate paradigm, though it demands a mature AI research infrastructure and sophisticated risk containment protocols.</w:t>
      </w:r>
    </w:p>
    <w:p w14:paraId="334E65A6">
      <w:pPr>
        <w:jc w:val="center"/>
      </w:pPr>
      <w:r>
        <w:drawing>
          <wp:inline distT="0" distB="0" distL="114300" distR="114300">
            <wp:extent cx="4114800" cy="2950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114800" cy="2951189"/>
                    </a:xfrm>
                    <a:prstGeom prst="rect">
                      <a:avLst/>
                    </a:prstGeom>
                  </pic:spPr>
                </pic:pic>
              </a:graphicData>
            </a:graphic>
          </wp:inline>
        </w:drawing>
      </w:r>
    </w:p>
    <w:p w14:paraId="24880C0D">
      <w:pPr>
        <w:jc w:val="center"/>
      </w:pPr>
      <w:r>
        <w:rPr>
          <w:rFonts w:ascii="Times New Roman" w:hAnsi="Times New Roman"/>
          <w:sz w:val="18"/>
        </w:rPr>
        <w:t>Figure 8. Decision framework for selecting AI approaches in finance (Source: Generated Flowchart Diagram)</w:t>
      </w:r>
    </w:p>
    <w:p w14:paraId="03EEC31D">
      <w:pPr>
        <w:jc w:val="both"/>
      </w:pPr>
      <w:r>
        <w:rPr>
          <w:rFonts w:ascii="Times New Roman" w:hAnsi="Times New Roman"/>
          <w:sz w:val="20"/>
        </w:rPr>
        <w:t>flowchart TD</w:t>
      </w:r>
    </w:p>
    <w:p w14:paraId="490C8D37">
      <w:pPr>
        <w:jc w:val="both"/>
      </w:pPr>
      <w:r>
        <w:rPr>
          <w:rFonts w:ascii="Times New Roman" w:hAnsi="Times New Roman"/>
          <w:sz w:val="20"/>
        </w:rPr>
        <w:t>A[Start: Define Financial Use Case] --&gt; B{Primary Requirement?};</w:t>
      </w:r>
    </w:p>
    <w:p w14:paraId="5B3E7E2D">
      <w:pPr>
        <w:jc w:val="both"/>
      </w:pPr>
      <w:r>
        <w:rPr>
          <w:rFonts w:ascii="Times New Roman" w:hAnsi="Times New Roman"/>
          <w:sz w:val="20"/>
        </w:rPr>
        <w:t>B --&gt;|"Maximize Interpretability/&lt;br&gt;Compliance"| C[Consider: Expert Systems&lt;br&gt;or Interpretable ML&lt;br&gt;e.g., Logistic Regression];</w:t>
      </w:r>
    </w:p>
    <w:p w14:paraId="143708E3">
      <w:pPr>
        <w:jc w:val="both"/>
      </w:pPr>
      <w:r>
        <w:rPr>
          <w:rFonts w:ascii="Times New Roman" w:hAnsi="Times New Roman"/>
          <w:sz w:val="20"/>
        </w:rPr>
        <w:t>B --&gt;|"Predictive Accuracy on&lt;br&gt;Structured Data"| D[Consider: Classical ML&lt;br&gt;e.g., Random Forest, XGBoost];</w:t>
      </w:r>
    </w:p>
    <w:p w14:paraId="2EC5C260">
      <w:pPr>
        <w:jc w:val="both"/>
      </w:pPr>
      <w:r>
        <w:rPr>
          <w:rFonts w:ascii="Times New Roman" w:hAnsi="Times New Roman"/>
          <w:sz w:val="20"/>
        </w:rPr>
        <w:t>B --&gt;|"Process Unstructured Data&lt;br&gt;or Complex Patterns"| E[Consider: Deep Learning&lt;br&gt;e.g., CNN, RNN, Transformers];</w:t>
      </w:r>
    </w:p>
    <w:p w14:paraId="205266BE">
      <w:pPr>
        <w:jc w:val="both"/>
      </w:pPr>
      <w:r>
        <w:rPr>
          <w:rFonts w:ascii="Times New Roman" w:hAnsi="Times New Roman"/>
          <w:sz w:val="20"/>
        </w:rPr>
        <w:t>B --&gt;|"Optimize Sequential&lt;br&gt;Decision-Making"| F[Consider: Reinforcement Learning];</w:t>
      </w:r>
    </w:p>
    <w:p w14:paraId="0F1EF1AA">
      <w:pPr>
        <w:jc w:val="both"/>
      </w:pPr>
      <w:r>
        <w:rPr>
          <w:rFonts w:ascii="Times New Roman" w:hAnsi="Times New Roman"/>
          <w:sz w:val="20"/>
        </w:rPr>
        <w:t>C --&gt; G{Performance Acceptable?};</w:t>
      </w:r>
    </w:p>
    <w:p w14:paraId="640D1F17">
      <w:pPr>
        <w:jc w:val="both"/>
      </w:pPr>
      <w:r>
        <w:rPr>
          <w:rFonts w:ascii="Times New Roman" w:hAnsi="Times New Roman"/>
          <w:sz w:val="20"/>
        </w:rPr>
        <w:t>D --&gt; G;</w:t>
      </w:r>
    </w:p>
    <w:p w14:paraId="482B8184">
      <w:pPr>
        <w:jc w:val="both"/>
      </w:pPr>
      <w:r>
        <w:rPr>
          <w:rFonts w:ascii="Times New Roman" w:hAnsi="Times New Roman"/>
          <w:sz w:val="20"/>
        </w:rPr>
        <w:t>E --&gt; H{Explainability &amp;&lt;br&gt;Risk Managed?};</w:t>
      </w:r>
    </w:p>
    <w:p w14:paraId="261E4664">
      <w:pPr>
        <w:jc w:val="both"/>
      </w:pPr>
      <w:r>
        <w:rPr>
          <w:rFonts w:ascii="Times New Roman" w:hAnsi="Times New Roman"/>
          <w:sz w:val="20"/>
        </w:rPr>
        <w:t>F --&gt; I{Robust Simulation &amp;&lt;br&gt;Risk Controls Exist?};</w:t>
      </w:r>
    </w:p>
    <w:p w14:paraId="1BD779E6">
      <w:pPr>
        <w:jc w:val="both"/>
      </w:pPr>
      <w:r>
        <w:rPr>
          <w:rFonts w:ascii="Times New Roman" w:hAnsi="Times New Roman"/>
          <w:sz w:val="20"/>
        </w:rPr>
        <w:t>G --&gt;|Yes| J[Proceed with Implementation];</w:t>
      </w:r>
    </w:p>
    <w:p w14:paraId="256E12D6">
      <w:pPr>
        <w:jc w:val="both"/>
      </w:pPr>
      <w:r>
        <w:rPr>
          <w:rFonts w:ascii="Times New Roman" w:hAnsi="Times New Roman"/>
          <w:sz w:val="20"/>
        </w:rPr>
        <w:t>G --&gt;|No| K[Re-evaluate Requirements&lt;br&gt;or Accept Trade-off];</w:t>
      </w:r>
    </w:p>
    <w:p w14:paraId="307B40AC">
      <w:pPr>
        <w:jc w:val="both"/>
      </w:pPr>
      <w:r>
        <w:rPr>
          <w:rFonts w:ascii="Times New Roman" w:hAnsi="Times New Roman"/>
          <w:sz w:val="20"/>
        </w:rPr>
        <w:t>H --&gt;|Yes| J;</w:t>
      </w:r>
    </w:p>
    <w:p w14:paraId="0D3A0C07">
      <w:pPr>
        <w:jc w:val="both"/>
      </w:pPr>
      <w:r>
        <w:rPr>
          <w:rFonts w:ascii="Times New Roman" w:hAnsi="Times New Roman"/>
          <w:sz w:val="20"/>
        </w:rPr>
        <w:t>H --&gt;|No| K;</w:t>
      </w:r>
    </w:p>
    <w:p w14:paraId="475D7AE9">
      <w:pPr>
        <w:jc w:val="both"/>
      </w:pPr>
      <w:r>
        <w:rPr>
          <w:rFonts w:ascii="Times New Roman" w:hAnsi="Times New Roman"/>
          <w:sz w:val="20"/>
        </w:rPr>
        <w:t>I --&gt;|Yes| J;</w:t>
      </w:r>
    </w:p>
    <w:p w14:paraId="03805EE7">
      <w:pPr>
        <w:jc w:val="both"/>
      </w:pPr>
      <w:r>
        <w:rPr>
          <w:rFonts w:ascii="Times New Roman" w:hAnsi="Times New Roman"/>
          <w:sz w:val="20"/>
        </w:rPr>
        <w:t>I --&gt;|No| K;</w:t>
      </w:r>
    </w:p>
    <w:p w14:paraId="10E9CC30">
      <w:pPr>
        <w:jc w:val="both"/>
      </w:pPr>
      <w:r>
        <w:rPr>
          <w:rFonts w:ascii="Times New Roman" w:hAnsi="Times New Roman"/>
          <w:sz w:val="20"/>
        </w:rPr>
        <w:t>This evolutionary and comparative analysis underscores that the trajectory of AI in finance is one of increasing capability coupled with increasing complexity and opacity. The industry's current state, as evidenced by leading institutions like JPMorgan Chase with over 300 AI use cases, involves a portfolio approach that leverages multiple methodologies in concert [Masood, 2025]. A robo-advisor platform, for example, might use expert-system-like rules for client risk profiling, classical ML for portfolio optimization, and NLP-driven deep learning to scan news for market sentiment that triggers rebalancing alerts. The future of AI+Finance will likely involve hybrid systems that attempt to marry the high performance of deep learning and RL with the explainability of earlier paradigms, alongside continued growth in specialized AI agents for autonomous financial tasks [Fortune Business Insights, 2026]. Ultimately, the comparative value of each approach is contingent on the specific financial problem, the available data, the regulatory landscape, and the institution's risk tolerance, making a nuanced understanding of this technological spectrum essential for sustainable innovation.</w:t>
      </w:r>
    </w:p>
    <w:p w14:paraId="7136C692">
      <w:pPr>
        <w:pStyle w:val="4"/>
      </w:pPr>
      <w:r>
        <w:rPr>
          <w:rFonts w:ascii="Times New Roman" w:hAnsi="Times New Roman"/>
          <w:sz w:val="24"/>
        </w:rPr>
        <w:t>7. Challenges and Solutions</w:t>
      </w:r>
    </w:p>
    <w:p w14:paraId="0B66F8CF">
      <w:pPr>
        <w:jc w:val="both"/>
      </w:pPr>
      <w:r>
        <w:rPr>
          <w:rFonts w:ascii="Times New Roman" w:hAnsi="Times New Roman"/>
          <w:sz w:val="20"/>
        </w:rPr>
        <w:t>The integration of artificial intelligence into the financial sector, while driving unprecedented efficiency, personalization, and innovation, is not a seamless technological upgrade. It introduces a complex array of technical, operational, ethical, and regulatory challenges that threaten to undermine its benefits if not systematically addressed. These challenges stem from the fundamental characteristics of AI systems—their data dependency, opacity, autonomy, and capacity for rapid, large-scale impact—interacting with the stringent requirements of financial systems for stability, fairness, transparency, and security. Navigating this landscape requires a nuanced understanding that the solutions are not merely technical fixes but involve evolving governance frameworks, interdisciplinary collaboration, and a re-evaluation of traditional financial risk models. The path forward for AI+Finance hinges on the industry’s ability to balance aggressive innovation with robust safeguards, ensuring that the pursuit of algorithmic alpha does not compromise systemic integrity or consumer trust.</w:t>
      </w:r>
    </w:p>
    <w:p w14:paraId="2C85985F">
      <w:pPr>
        <w:pStyle w:val="5"/>
      </w:pPr>
      <w:r>
        <w:rPr>
          <w:rFonts w:ascii="Times New Roman" w:hAnsi="Times New Roman"/>
          <w:sz w:val="22"/>
        </w:rPr>
        <w:t>Technical and Operational Hurdles</w:t>
      </w:r>
    </w:p>
    <w:p w14:paraId="0241C3A4">
      <w:pPr>
        <w:jc w:val="both"/>
      </w:pPr>
      <w:r>
        <w:rPr>
          <w:rFonts w:ascii="Times New Roman" w:hAnsi="Times New Roman"/>
          <w:sz w:val="20"/>
        </w:rPr>
        <w:t>At the foundation of AI’s promise in finance lies a formidable technical challenge: the quality, integrity, and governance of the data upon which models are built. AI and machine learning algorithms are inherently data-hungry, and their performance is directly contingent on the volume, variety, and veracity of their training datasets [FSB, 2017]. Financial institutions grapple with vast reservoirs of data that are often siloed across legacy systems, unstructured, or plagued by inconsistencies and biases. The adage "garbage in, garbage out" is acutely relevant; models trained on historical data reflecting past socio-economic biases or incomplete market information will perpetuate and potentially amplify those flaws in their predictions, such as in credit scoring or hiring algorithms [AESS Publications, 2025]. Furthermore, the dynamic nature of financial markets presents the problem of non-stationarity. Relationships between variables that held in the past can break down during regime shifts, such as financial crises or periods of unprecedented monetary policy, causing even sophisticated models to fail catastrophically if they cannot adapt in real-time. This is particularly perilous for applications like algorithmic trading and risk management, where model failure can lead to instantaneous, significant losses [IOSCO, n.d.].</w:t>
      </w:r>
    </w:p>
    <w:p w14:paraId="0665FBFE">
      <w:pPr>
        <w:jc w:val="both"/>
      </w:pPr>
      <w:r>
        <w:rPr>
          <w:rFonts w:ascii="Times New Roman" w:hAnsi="Times New Roman"/>
          <w:sz w:val="20"/>
        </w:rPr>
        <w:t>A related and profound operational challenge is the "black box" problem associated with many advanced AI techniques, particularly deep learning. While these models can detect incredibly subtle patterns, the internal logic of how specific inputs lead to a particular output—such as a loan denial or a trading signal—can be inscrutable even to their creators [Humanities and Social Sciences Communications, 2025]. This opacity conflicts directly with core financial principles of accountability, auditability, and the regulatory "right to explanation." When a model denies credit, regulators and consumers demand to know why. When an algorithmic trading system triggers a flash crash, investigators need to trace the causal chain. The lack of explainability hinders effective model validation, complicates compliance with regulations like the EU’s General Data Protection Regulation (GDPR), and erodes stakeholder trust. Consequently, a major focus for leading institutions like JPMorgan Chase and Goldman Sachs has shifted from merely deploying AI to investing in explainable AI (XAI) techniques that provide post-hoc rationales or inherently interpretable models, ensuring decisions can be justified and audited [Facebook, 2025].</w:t>
      </w:r>
    </w:p>
    <w:p w14:paraId="622FA11F">
      <w:pPr>
        <w:jc w:val="center"/>
      </w:pPr>
      <w:r>
        <w:drawing>
          <wp:inline distT="0" distB="0" distL="114300" distR="114300">
            <wp:extent cx="4114800" cy="1275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114800" cy="1275588"/>
                    </a:xfrm>
                    <a:prstGeom prst="rect">
                      <a:avLst/>
                    </a:prstGeom>
                  </pic:spPr>
                </pic:pic>
              </a:graphicData>
            </a:graphic>
          </wp:inline>
        </w:drawing>
      </w:r>
    </w:p>
    <w:p w14:paraId="54BBC554">
      <w:pPr>
        <w:jc w:val="center"/>
      </w:pPr>
      <w:r>
        <w:rPr>
          <w:rFonts w:ascii="Times New Roman" w:hAnsi="Times New Roman"/>
          <w:sz w:val="18"/>
        </w:rPr>
        <w:t>Figure 9. The Interconnected Technical and Operational Challenges in AI+Finance (Source: Generated Flowchart Diagram)</w:t>
      </w:r>
    </w:p>
    <w:p w14:paraId="3FA8F367">
      <w:pPr>
        <w:jc w:val="both"/>
      </w:pPr>
      <w:r>
        <w:rPr>
          <w:rFonts w:ascii="Times New Roman" w:hAnsi="Times New Roman"/>
          <w:sz w:val="20"/>
        </w:rPr>
        <w:t>flowchart TD</w:t>
      </w:r>
    </w:p>
    <w:p w14:paraId="0F9AA5F0">
      <w:pPr>
        <w:jc w:val="both"/>
      </w:pPr>
      <w:r>
        <w:rPr>
          <w:rFonts w:ascii="Times New Roman" w:hAnsi="Times New Roman"/>
          <w:sz w:val="20"/>
        </w:rPr>
        <w:t>A[Data Challenges] --&gt; B[Biased/Incomplete Training Data]</w:t>
      </w:r>
    </w:p>
    <w:p w14:paraId="79742429">
      <w:pPr>
        <w:jc w:val="both"/>
      </w:pPr>
      <w:r>
        <w:rPr>
          <w:rFonts w:ascii="Times New Roman" w:hAnsi="Times New Roman"/>
          <w:sz w:val="20"/>
        </w:rPr>
        <w:t>A --&gt; C[Non-Stationary Market Regimes]</w:t>
      </w:r>
    </w:p>
    <w:p w14:paraId="2D062F80">
      <w:pPr>
        <w:jc w:val="both"/>
      </w:pPr>
      <w:r>
        <w:rPr>
          <w:rFonts w:ascii="Times New Roman" w:hAnsi="Times New Roman"/>
          <w:sz w:val="20"/>
        </w:rPr>
        <w:t>B --&gt; D[Model Perpetuates/Amplifies Bias]</w:t>
      </w:r>
    </w:p>
    <w:p w14:paraId="4E0594D5">
      <w:pPr>
        <w:jc w:val="both"/>
      </w:pPr>
      <w:r>
        <w:rPr>
          <w:rFonts w:ascii="Times New Roman" w:hAnsi="Times New Roman"/>
          <w:sz w:val="20"/>
        </w:rPr>
        <w:t>C --&gt; E[Model Failure &amp; Financial Loss]</w:t>
      </w:r>
    </w:p>
    <w:p w14:paraId="24D16597">
      <w:pPr>
        <w:jc w:val="both"/>
      </w:pPr>
      <w:r>
        <w:rPr>
          <w:rFonts w:ascii="Times New Roman" w:hAnsi="Times New Roman"/>
          <w:sz w:val="20"/>
        </w:rPr>
        <w:t>D --&gt; F[Unfair Outcomes &amp; Regulatory Risk]</w:t>
      </w:r>
    </w:p>
    <w:p w14:paraId="58E65438">
      <w:pPr>
        <w:jc w:val="both"/>
      </w:pPr>
      <w:r>
        <w:rPr>
          <w:rFonts w:ascii="Times New Roman" w:hAnsi="Times New Roman"/>
          <w:sz w:val="20"/>
        </w:rPr>
        <w:t>E --&gt; F</w:t>
      </w:r>
    </w:p>
    <w:p w14:paraId="0EA0C05C">
      <w:pPr>
        <w:jc w:val="both"/>
      </w:pPr>
      <w:r>
        <w:rPr>
          <w:rFonts w:ascii="Times New Roman" w:hAnsi="Times New Roman"/>
          <w:sz w:val="20"/>
        </w:rPr>
        <w:t>G[Model Opacity “Black Box”] --&gt; H[Lack of Explainability]</w:t>
      </w:r>
    </w:p>
    <w:p w14:paraId="55023EC0">
      <w:pPr>
        <w:jc w:val="both"/>
      </w:pPr>
      <w:r>
        <w:rPr>
          <w:rFonts w:ascii="Times New Roman" w:hAnsi="Times New Roman"/>
          <w:sz w:val="20"/>
        </w:rPr>
        <w:t>H --&gt; I[Auditability &amp; Compliance Hurdles]</w:t>
      </w:r>
    </w:p>
    <w:p w14:paraId="633283E7">
      <w:pPr>
        <w:jc w:val="both"/>
      </w:pPr>
      <w:r>
        <w:rPr>
          <w:rFonts w:ascii="Times New Roman" w:hAnsi="Times New Roman"/>
          <w:sz w:val="20"/>
        </w:rPr>
        <w:t>H --&gt; J[Erosion of Stakeholder Trust]</w:t>
      </w:r>
    </w:p>
    <w:p w14:paraId="10CFA24E">
      <w:pPr>
        <w:jc w:val="both"/>
      </w:pPr>
      <w:r>
        <w:rPr>
          <w:rFonts w:ascii="Times New Roman" w:hAnsi="Times New Roman"/>
          <w:sz w:val="20"/>
        </w:rPr>
        <w:t>I --&gt; K[Operational &amp; Reputational Risk]</w:t>
      </w:r>
    </w:p>
    <w:p w14:paraId="4E776F05">
      <w:pPr>
        <w:jc w:val="both"/>
      </w:pPr>
      <w:r>
        <w:rPr>
          <w:rFonts w:ascii="Times New Roman" w:hAnsi="Times New Roman"/>
          <w:sz w:val="20"/>
        </w:rPr>
        <w:t>J --&gt; K</w:t>
      </w:r>
    </w:p>
    <w:p w14:paraId="2178F05C">
      <w:pPr>
        <w:jc w:val="both"/>
      </w:pPr>
      <w:r>
        <w:rPr>
          <w:rFonts w:ascii="Times New Roman" w:hAnsi="Times New Roman"/>
          <w:sz w:val="20"/>
        </w:rPr>
        <w:t>F --&gt; L[Systemic Vulnerability]</w:t>
      </w:r>
    </w:p>
    <w:p w14:paraId="5D5E6215">
      <w:pPr>
        <w:jc w:val="both"/>
      </w:pPr>
      <w:r>
        <w:rPr>
          <w:rFonts w:ascii="Times New Roman" w:hAnsi="Times New Roman"/>
          <w:sz w:val="20"/>
        </w:rPr>
        <w:t>K --&gt; L</w:t>
      </w:r>
    </w:p>
    <w:p w14:paraId="2D392A78">
      <w:pPr>
        <w:jc w:val="both"/>
      </w:pPr>
      <w:r>
        <w:rPr>
          <w:rFonts w:ascii="Times New Roman" w:hAnsi="Times New Roman"/>
          <w:sz w:val="20"/>
        </w:rPr>
        <w:t>The solution landscape for these technical and operational hurdles is multifaceted. First, instituting rigorous data governance frameworks is paramount. This involves creating centralized data lakes with strict quality controls, implementing data lineage tracking to understand the provenance and transformation of every data point, and proactively auditing training datasets for historical bias. Second, the field of Model Risk Management (MRM) for AI must evolve beyond traditional statistical validation. This includes continuous monitoring of model performance against live data, employing champion-challenger frameworks where new models run in parallel with old ones, and developing robust stress-testing scenarios that simulate extreme market conditions to evaluate model resilience. Finally, the adoption of explainable AI is not optional. Financial institutions must prioritize techniques like LIME (Local Interpretable Model-agnostic Explanations) or SHAP (SHapley Additive exPlanations) for complex models, or alternatively, choose inherently interpretable models like decision trees or linear regression where high-stakes explainability outweighs marginal gains in predictive accuracy from a black-box alternative. This technical diligence forms the bedrock upon which safe and reliable AI-powered finance can be built.</w:t>
      </w:r>
    </w:p>
    <w:p w14:paraId="608BB802">
      <w:pPr>
        <w:pStyle w:val="5"/>
      </w:pPr>
      <w:r>
        <w:rPr>
          <w:rFonts w:ascii="Times New Roman" w:hAnsi="Times New Roman"/>
          <w:sz w:val="22"/>
        </w:rPr>
        <w:t>Ethical, Regulatory, and Systemic Risks</w:t>
      </w:r>
    </w:p>
    <w:p w14:paraId="078E1B63">
      <w:pPr>
        <w:jc w:val="both"/>
      </w:pPr>
      <w:r>
        <w:rPr>
          <w:rFonts w:ascii="Times New Roman" w:hAnsi="Times New Roman"/>
          <w:sz w:val="20"/>
        </w:rPr>
        <w:t>Beyond technical execution, AI in finance raises profound ethical questions concerning fairness, accountability, and privacy. Algorithmic bias, as mentioned, can lead to discriminatory outcomes, systematically disadvantaging certain demographic groups in credit access, insurance premiums, or employment opportunities within finance itself [AESS Publications, 2025]. This bias often arises not from malicious intent but from proxies within the data—historical patterns of inequality that the model learns to replicate. The ethical challenge is compounded by issues of accountability. When an autonomous robo-advisor’s portfolio recommendation leads to significant client losses, or a fraud detection algorithm incorrectly freezes a customer’s account, determining liability is complex. Is it the algorithm developer, the data provider, the financial institution that deployed it, or the regulatory body that approved it? The diffusion of responsibility in AI supply chains creates ethical and legal gray areas that existing frameworks struggle to address [Humanities and Social Sciences Communications, 2025].</w:t>
      </w:r>
    </w:p>
    <w:p w14:paraId="1153E2B4">
      <w:pPr>
        <w:jc w:val="both"/>
      </w:pPr>
      <w:r>
        <w:rPr>
          <w:rFonts w:ascii="Times New Roman" w:hAnsi="Times New Roman"/>
          <w:sz w:val="20"/>
        </w:rPr>
        <w:t>These ethical concerns are inextricably linked to a rapidly evolving and fragmented regulatory landscape. Regulators worldwide are scrambling to keep pace with innovation, leading to a patchwork of approaches that can stifle cross-border financial services. The European Union’s AI Act, which categorizes certain financial AI uses as high-risk, imposes strict transparency and human oversight requirements. In the United States, regulatory guidance is emerging from a constellation of agencies including the SEC, CFTC, and CFPB, each with its own focus, leading to potential compliance complexity [Congress.gov, 2024]. A core regulatory challenge is the aforementioned explainability requirement. Regulators need to supervise algorithms to prevent market manipulation, ensure consumer protection, and maintain financial stability, but they cannot effectively audit a system whose decision-making logic is opaque. This has spurred the growth of Regulatory Technology (RegTech), where AI is used to supervise AI—employing natural language processing to monitor communications for misconduct or machine learning to detect anomalous trading patterns across entire markets [SSRN, n.d.]. However, this creates a meta-challenge of ensuring the regulators’ own AI tools are themselves fair, transparent, and effective.</w:t>
      </w:r>
    </w:p>
    <w:p w14:paraId="121A2543">
      <w:pPr>
        <w:jc w:val="both"/>
      </w:pPr>
      <w:r>
        <w:rPr>
          <w:rFonts w:ascii="Times New Roman" w:hAnsi="Times New Roman"/>
          <w:sz w:val="20"/>
        </w:rPr>
        <w:t>The aggregation of these risks at a macro scale presents the most severe challenge: systemic risk. The widespread adoption of similar AI models by major financial institutions—a phenomenon known as "model monoculture"—could lead to correlated failures. If multiple large banks or hedge funds use substantively similar algorithms for risk assessment or liquidity management, they may all react in the same way to a market shock, amplifying volatility and potentially triggering a crisis rather than dampening it [FSB, 2017]. Furthermore, the increasing autonomy and speed of AI agents in trading could lead to unpredictable, cascading interactions in the markets. A flash crash caused by competing high-frequency trading algorithms is a precursor to the kind of systemic "AI accident" that experts warn may pose a greater threat than a traditional market crash [Facebook, 2025]. The interconnectedness of global finance means a failure in one AI-driven market (e.g., derivatives) can rapidly propagate to others, challenging traditional containment mechanisms.</w:t>
      </w:r>
    </w:p>
    <w:p w14:paraId="54802D80">
      <w:pPr>
        <w:jc w:val="both"/>
      </w:pPr>
      <w:r>
        <w:rPr>
          <w:rFonts w:ascii="Times New Roman" w:hAnsi="Times New Roman"/>
          <w:sz w:val="20"/>
        </w:rPr>
        <w:t>Addressing this triad of ethical, regulatory, and systemic risks demands proactive and collaborative solutions. Ethically, the principle of "ethics by design" must be integrated into the AI development lifecycle. This involves diverse teams auditing for bias, establishing clear ethical guidelines for AI use, and creating accessible channels for consumers to appeal algorithmic decisions. Regulatory bodies must move towards more agile, principles-based frameworks that can adapt to technological change while ensuring core tenets of market fairness and stability. International coordination, through forums like the Financial Stability Board (FSB) and the International Organization of Securities Commissions (IOSCO), is critical to harmonize standards and prevent regulatory arbitrage [IOSCO, n.d.]. To mitigate systemic risk, regulators and institutions should mandate diversity in model development, encouraging heterogeneity in approaches to avoid monoculture. Enhanced market circuit breakers and "kill switches" for autonomous trading systems, coupled with rigorous scenario-based systemic stress testing that includes AI behavior, are essential safeguards. Ultimately, building a resilient AI-powered financial system requires viewing these challenges not as isolated obstacles but as interconnected elements of a new financial ecosystem that must be managed holistically.</w:t>
      </w:r>
    </w:p>
    <w:p w14:paraId="28E0A31A">
      <w:pPr>
        <w:pStyle w:val="5"/>
      </w:pPr>
      <w:r>
        <w:rPr>
          <w:rFonts w:ascii="Times New Roman" w:hAnsi="Times New Roman"/>
          <w:sz w:val="22"/>
        </w:rPr>
        <w:t>Strategic Implementation and Talent Gap</w:t>
      </w:r>
    </w:p>
    <w:p w14:paraId="32BA3D40">
      <w:pPr>
        <w:jc w:val="both"/>
      </w:pPr>
      <w:r>
        <w:rPr>
          <w:rFonts w:ascii="Times New Roman" w:hAnsi="Times New Roman"/>
          <w:sz w:val="20"/>
        </w:rPr>
        <w:t>For individual financial institutions, the strategic challenge of integrating AI into existing operations is daunting. Legacy technology architecture, built over decades with monolithic core banking systems, is often incompatible with the agile, cloud-native, data-intensive requirements of modern AI applications [The Asian Banker, 2026]. The cost and complexity of modernizing this infrastructure while maintaining 24/7 operational reliability is a massive undertaking that can stall AI initiatives. Furthermore, AI projects frequently suffer from misalignment with core business objectives. The pursuit of AI as a buzzword can lead to isolated "proof-of-concept" projects that never graduate to production, failing to deliver tangible return on investment. Success requires that AI initiatives are tightly coupled with strategic priorities—whether that is reducing operational costs in document processing, increasing revenue through personalized marketing, or managing risk more effectively in trading books.</w:t>
      </w:r>
    </w:p>
    <w:p w14:paraId="580CE67B">
      <w:pPr>
        <w:jc w:val="both"/>
      </w:pPr>
      <w:r>
        <w:rPr>
          <w:rFonts w:ascii="Times New Roman" w:hAnsi="Times New Roman"/>
          <w:sz w:val="20"/>
        </w:rPr>
        <w:t>Compounding these strategic hurdles is a severe and persistent talent gap. The successful deployment of AI+Finance requires a rare hybrid of expertise: individuals who possess deep technical knowledge in data science, machine learning, and software engineering, coupled with a solid understanding of financial markets, products, and regulations. This talent is in extremely high demand across all industries, and financial institutions compete not only with each other but with big technology firms and well-funded fintech startups for a limited pool of specialists [Masood, 2025]. This competition drives up costs and can leave traditional banks at a disadvantage compared to the perceived innovation culture of tech companies. Moreover, the existing workforce within banks often lacks the skills to work effectively alongside AI systems, necessitating large-scale reskilling and upskilling programs to foster a culture of data literacy and human-AI collaboration.</w:t>
      </w:r>
    </w:p>
    <w:p w14:paraId="2E24479E">
      <w:pPr>
        <w:jc w:val="center"/>
      </w:pPr>
      <w:r>
        <w:drawing>
          <wp:inline distT="0" distB="0" distL="114300" distR="114300">
            <wp:extent cx="4114800" cy="91147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114800" cy="9115063"/>
                    </a:xfrm>
                    <a:prstGeom prst="rect">
                      <a:avLst/>
                    </a:prstGeom>
                  </pic:spPr>
                </pic:pic>
              </a:graphicData>
            </a:graphic>
          </wp:inline>
        </w:drawing>
      </w:r>
    </w:p>
    <w:p w14:paraId="77EBD79E">
      <w:pPr>
        <w:jc w:val="center"/>
      </w:pPr>
      <w:r>
        <w:rPr>
          <w:rFonts w:ascii="Times New Roman" w:hAnsi="Times New Roman"/>
          <w:sz w:val="18"/>
        </w:rPr>
        <w:t>Figure 10. Strategic Roadmap for Overcoming Implementation Challenges (Source: Generated Gantt Diagram)</w:t>
      </w:r>
    </w:p>
    <w:p w14:paraId="5A3A2A3A">
      <w:pPr>
        <w:jc w:val="both"/>
      </w:pPr>
      <w:r>
        <w:rPr>
          <w:rFonts w:ascii="Times New Roman" w:hAnsi="Times New Roman"/>
          <w:sz w:val="20"/>
        </w:rPr>
        <w:t>gantt</w:t>
      </w:r>
    </w:p>
    <w:p w14:paraId="0BBC74FC">
      <w:pPr>
        <w:jc w:val="both"/>
      </w:pPr>
      <w:r>
        <w:rPr>
          <w:rFonts w:ascii="Times New Roman" w:hAnsi="Times New Roman"/>
          <w:sz w:val="20"/>
        </w:rPr>
        <w:t>title AI Integration Strategic Roadmap</w:t>
      </w:r>
    </w:p>
    <w:p w14:paraId="540354BF">
      <w:pPr>
        <w:jc w:val="both"/>
      </w:pPr>
      <w:r>
        <w:rPr>
          <w:rFonts w:ascii="Times New Roman" w:hAnsi="Times New Roman"/>
          <w:sz w:val="20"/>
        </w:rPr>
        <w:t>dateFormat  YYYY-Q</w:t>
      </w:r>
    </w:p>
    <w:p w14:paraId="4B28D550">
      <w:pPr>
        <w:jc w:val="both"/>
      </w:pPr>
      <w:r>
        <w:rPr>
          <w:rFonts w:ascii="Times New Roman" w:hAnsi="Times New Roman"/>
          <w:sz w:val="20"/>
        </w:rPr>
        <w:t>section Foundation</w:t>
      </w:r>
    </w:p>
    <w:p w14:paraId="03C6D188">
      <w:pPr>
        <w:jc w:val="both"/>
      </w:pPr>
      <w:r>
        <w:rPr>
          <w:rFonts w:ascii="Times New Roman" w:hAnsi="Times New Roman"/>
          <w:sz w:val="20"/>
        </w:rPr>
        <w:t>Legacy System Assessment &amp; Cloud Strategy :2025-Q1, 4Q</w:t>
      </w:r>
    </w:p>
    <w:p w14:paraId="2D4DD1BA">
      <w:pPr>
        <w:jc w:val="both"/>
      </w:pPr>
      <w:r>
        <w:rPr>
          <w:rFonts w:ascii="Times New Roman" w:hAnsi="Times New Roman"/>
          <w:sz w:val="20"/>
        </w:rPr>
        <w:t>Establish Data Governance Office :2025-Q2, 3Q</w:t>
      </w:r>
    </w:p>
    <w:p w14:paraId="7C0CE05C">
      <w:pPr>
        <w:jc w:val="both"/>
      </w:pPr>
      <w:r>
        <w:rPr>
          <w:rFonts w:ascii="Times New Roman" w:hAnsi="Times New Roman"/>
          <w:sz w:val="20"/>
        </w:rPr>
        <w:t>section Talent &amp; Culture</w:t>
      </w:r>
    </w:p>
    <w:p w14:paraId="77885B42">
      <w:pPr>
        <w:jc w:val="both"/>
      </w:pPr>
      <w:r>
        <w:rPr>
          <w:rFonts w:ascii="Times New Roman" w:hAnsi="Times New Roman"/>
          <w:sz w:val="20"/>
        </w:rPr>
        <w:t>Launch Hybrid Talent Acquisition Program :2025-Q3, 6Q</w:t>
      </w:r>
    </w:p>
    <w:p w14:paraId="4731D49A">
      <w:pPr>
        <w:jc w:val="both"/>
      </w:pPr>
      <w:r>
        <w:rPr>
          <w:rFonts w:ascii="Times New Roman" w:hAnsi="Times New Roman"/>
          <w:sz w:val="20"/>
        </w:rPr>
        <w:t>Enterprise-wide AI Literacy Upskilling :2026-Q1, 8Q</w:t>
      </w:r>
    </w:p>
    <w:p w14:paraId="54F7A8EA">
      <w:pPr>
        <w:jc w:val="both"/>
      </w:pPr>
      <w:r>
        <w:rPr>
          <w:rFonts w:ascii="Times New Roman" w:hAnsi="Times New Roman"/>
          <w:sz w:val="20"/>
        </w:rPr>
        <w:t>section Deployment</w:t>
      </w:r>
    </w:p>
    <w:p w14:paraId="60F8EB1B">
      <w:pPr>
        <w:jc w:val="both"/>
      </w:pPr>
      <w:r>
        <w:rPr>
          <w:rFonts w:ascii="Times New Roman" w:hAnsi="Times New Roman"/>
          <w:sz w:val="20"/>
        </w:rPr>
        <w:t>Pilot Explainable AI in RegTech Compliance :2026-Q2, 4Q</w:t>
      </w:r>
    </w:p>
    <w:p w14:paraId="4831D031">
      <w:pPr>
        <w:jc w:val="both"/>
      </w:pPr>
      <w:r>
        <w:rPr>
          <w:rFonts w:ascii="Times New Roman" w:hAnsi="Times New Roman"/>
          <w:sz w:val="20"/>
        </w:rPr>
        <w:t>Scale Successful Pilots to Core Business Lines :2027-Q1, 6Q</w:t>
      </w:r>
    </w:p>
    <w:p w14:paraId="0B08CC39">
      <w:pPr>
        <w:jc w:val="both"/>
      </w:pPr>
      <w:r>
        <w:rPr>
          <w:rFonts w:ascii="Times New Roman" w:hAnsi="Times New Roman"/>
          <w:sz w:val="20"/>
        </w:rPr>
        <w:t>section Governance</w:t>
      </w:r>
    </w:p>
    <w:p w14:paraId="09E4C82A">
      <w:pPr>
        <w:jc w:val="both"/>
      </w:pPr>
      <w:r>
        <w:rPr>
          <w:rFonts w:ascii="Times New Roman" w:hAnsi="Times New Roman"/>
          <w:sz w:val="20"/>
        </w:rPr>
        <w:t>Implement AI Ethics Board &amp; Audit Framework :2025-Q4, 12Q</w:t>
      </w:r>
    </w:p>
    <w:p w14:paraId="726DB7F8">
      <w:pPr>
        <w:jc w:val="both"/>
      </w:pPr>
      <w:r>
        <w:rPr>
          <w:rFonts w:ascii="Times New Roman" w:hAnsi="Times New Roman"/>
          <w:sz w:val="20"/>
        </w:rPr>
        <w:t>Integrate AI into Enterprise Risk Management :2026-Q3, 10Q</w:t>
      </w:r>
    </w:p>
    <w:p w14:paraId="251EDC8E">
      <w:pPr>
        <w:jc w:val="both"/>
      </w:pPr>
      <w:r>
        <w:rPr>
          <w:rFonts w:ascii="Times New Roman" w:hAnsi="Times New Roman"/>
          <w:sz w:val="20"/>
        </w:rPr>
        <w:t>The solutions to these strategic and human capital challenges are organizational and cultural as much as they are technological. Strategically, institutions must adopt a phased, use-case-driven approach to integration. This begins with a clear assessment of legacy system constraints and the development of a hybrid cloud strategy that allows new AI applications to be developed in agile environments while establishing secure APIs to legacy systems for necessary data access [The Asian Banker, 2026]. Projects should be prioritized based on a clear value framework measuring potential impact against implementation complexity, focusing first on areas with high data availability and well-defined problems, such as fraud detection or document automation. To bridge the talent gap, a multi-pronged approach is essential. This includes building strategic partnerships with universities to create tailored finance-AI curricula, establishing internal "AI academies" to reskill existing quantitative and technology staff, and creating attractive career pathways that offer challenging problems at the intersection of finance and technology. Furthermore, fostering a culture of collaboration between "quants," data scientists, and veteran business-line professionals is critical to ensure AI solutions are grounded in financial reality and deliver measurable business value. By viewing AI integration as a transformative business initiative requiring coordinated investment in technology, talent, and processes, financial institutions can navigate the implementation maze and convert the promise of AI into sustained competitive advantage.</w:t>
      </w:r>
    </w:p>
    <w:p w14:paraId="1A390C8E">
      <w:pPr>
        <w:pStyle w:val="4"/>
      </w:pPr>
      <w:r>
        <w:rPr>
          <w:rFonts w:ascii="Times New Roman" w:hAnsi="Times New Roman"/>
          <w:sz w:val="24"/>
        </w:rPr>
        <w:t>8. Future Outlook</w:t>
      </w:r>
    </w:p>
    <w:p w14:paraId="466057DE">
      <w:pPr>
        <w:jc w:val="both"/>
      </w:pPr>
      <w:r>
        <w:rPr>
          <w:rFonts w:ascii="Times New Roman" w:hAnsi="Times New Roman"/>
          <w:sz w:val="20"/>
        </w:rPr>
        <w:t>The trajectory of artificial intelligence in finance is one of accelerating convergence, where technological capability, market demand, and regulatory evolution are driving the sector toward a fundamentally more autonomous, personalized, and interconnected future. Building upon the foundational applications of algorithmic trading, robo-advising, and risk management, the next decade will be defined by the maturation of AI from a supportive tool to a core, strategic driver of financial architecture. This evolution will be characterized by several dominant trends: the rise of autonomous AI agents, the deepening integration of generative AI and large language models (LLMs), a critical push toward explainability and robust governance, and the nascent exploration of next-generation computing paradigms like quantum machine learning. The financial ecosystem of 2035 will likely be one where AI is not merely applied to finance but is intrinsic to its operation, demanding new frameworks for competition, collaboration, and control [ScienceDirect, 2025; Fortune Business Insights, 2026].</w:t>
      </w:r>
    </w:p>
    <w:p w14:paraId="18EA43C1">
      <w:pPr>
        <w:jc w:val="both"/>
      </w:pPr>
      <w:r>
        <w:rPr>
          <w:rFonts w:ascii="Times New Roman" w:hAnsi="Times New Roman"/>
          <w:sz w:val="20"/>
        </w:rPr>
        <w:t>A primary vector of advancement will be the transition from task-specific AI models to sophisticated, autonomous AI agents. These agents represent a significant evolution beyond current systems, capable of perceiving complex financial environments, making independent decisions, and executing multi-step tasks to achieve defined economic objectives [ScienceDirect, 2025]. We foresee the proliferation of agentic systems across three key domains. In capital markets, multi-agent reinforcement learning systems will orchestrate entire portfolios, dynamically negotiating with market microstructures and other algorithmic agents to optimize for multi-faceted goals beyond simple return, incorporating liquidity constraints, systemic risk contributions, and sustainability metrics [ScienceDirect, 2025]. For institutional operations, autonomous agents will manage end-to-end processes such as trade settlement, collateral management, and regulatory reporting, interfacing directly with distributed ledger technologies to create self-reconciling financial records. Perhaps most transformatively, in consumer finance, personal financial AI agents will act as fiduciary intermediaries, continuously monitoring a user’s financial footprint across institutions, executing automated tax-loss harvesting, negotiating loan terms, and dynamically reallocating assets based on real-time life events—effectively serving as a 24/7 personal chief financial officer [Fortune Business Insights, 2026]. The market for such autonomous systems is forecast to grow robustly, from $1.96 billion in 2026 to $5.71 billion by 2034, signaling strong commercial belief in this paradigm shift [Fortune Business Insights, 2026].</w:t>
      </w:r>
    </w:p>
    <w:p w14:paraId="7CFEF0F5">
      <w:pPr>
        <w:jc w:val="both"/>
      </w:pPr>
      <w:r>
        <w:rPr>
          <w:rFonts w:ascii="Times New Roman" w:hAnsi="Times New Roman"/>
          <w:sz w:val="20"/>
        </w:rPr>
        <w:t>Concurrently, the integration of generative AI and large language models will dissolve the interface between humans and financial systems, revolutionizing areas from customer interaction to complex financial engineering. The future of natural language processing (NLP) in finance lies not merely in sentiment analysis but in the synthesis of reasoning and action. We anticipate the emergence of generative financial analysts—LLMs fine-tuned on decades of SEC filings, earnings call transcripts, and macroeconomic research—that can produce draft equity research reports, generate scenario analyses for credit committees, and summarize the regulatory implications of new financial products in real-time [ResearchGate, 2024]. For client-facing functions, the next generation of chatbots will evolve into empathetic financial coaches, using advanced dialogue systems to guide users through complex decisions like retirement planning or mortgage selection by explaining trade-offs in natural language, building financial literacy through conversation [Artificial Intelligence in Finance, n.d.]. Furthermore, generative models will be harnessed for synthetic data generation, creating realistic but privacy-preserving financial datasets to train fraud detection models without exposing sensitive customer information, and for stress-testing scenarios, simulating novel market crises beyond historical precedent to probe the resilience of AI-driven trading strategies [McKinsey &amp; Company, 2025].</w:t>
      </w:r>
    </w:p>
    <w:p w14:paraId="6D19EEAA">
      <w:pPr>
        <w:jc w:val="both"/>
      </w:pPr>
      <w:r>
        <w:rPr>
          <w:rFonts w:ascii="Times New Roman" w:hAnsi="Times New Roman"/>
          <w:sz w:val="20"/>
        </w:rPr>
        <w:t>However, this ascent of capability will be inextricably linked to a parallel and urgent trend: the demand for explainable AI (XAI) and robust algorithmic governance. As AI systems assume greater autonomy in critical financial decisions, the "black box" problem transitions from a technical nuisance to a paramount source of systemic risk [Facebook, 2025]. The future regulatory landscape will likely mandate a level of transparency and auditability for AI models that far exceeds today’s</w:t>
      </w:r>
      <w:r>
        <w:rPr>
          <w:rFonts w:hint="eastAsia" w:ascii="Times New Roman" w:hAnsi="Times New Roman" w:eastAsia="宋体"/>
          <w:sz w:val="20"/>
          <w:lang w:val="en-US" w:eastAsia="zh-CN"/>
        </w:rPr>
        <w:t>W</w:t>
      </w:r>
      <w:bookmarkStart w:id="0" w:name="_GoBack"/>
      <w:bookmarkEnd w:id="0"/>
      <w:r>
        <w:rPr>
          <w:rFonts w:ascii="Times New Roman" w:hAnsi="Times New Roman"/>
          <w:sz w:val="20"/>
        </w:rPr>
        <w:t xml:space="preserve"> standards. This will spur significant investment in techniques for model interpretability, such as attention mechanism visualization for transformer models in credit scoring and counterfactual explanations for trading algorithm decisions [Humanities and Social Sciences Communications, 2025]. Financial institutions like Goldman Sachs, which are already prioritizing explainability, will be at the forefront of developing governance frameworks that include continuous model monitoring for concept drift, rigorous third-party validation of AI systems, and clear lines of human accountability for AI-driven outcomes [Facebook, 2025]. RegTech will evolve in tandem, with supervisory technologies (SupTech) employing AI to monitor the AI systems of regulated entities, creating a meta-layer of algorithmic oversight designed to detect emergent systemic risks, such as herding behavior across multiple institutions’ reinforcement learning traders [IOSCO, n.d.].</w:t>
      </w:r>
    </w:p>
    <w:p w14:paraId="13225AAC">
      <w:pPr>
        <w:jc w:val="center"/>
      </w:pPr>
      <w:r>
        <w:drawing>
          <wp:inline distT="0" distB="0" distL="114300" distR="114300">
            <wp:extent cx="4114800" cy="4752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114800" cy="4753071"/>
                    </a:xfrm>
                    <a:prstGeom prst="rect">
                      <a:avLst/>
                    </a:prstGeom>
                  </pic:spPr>
                </pic:pic>
              </a:graphicData>
            </a:graphic>
          </wp:inline>
        </w:drawing>
      </w:r>
    </w:p>
    <w:p w14:paraId="503FD6FA">
      <w:pPr>
        <w:jc w:val="center"/>
      </w:pPr>
      <w:r>
        <w:rPr>
          <w:rFonts w:ascii="Times New Roman" w:hAnsi="Times New Roman"/>
          <w:sz w:val="18"/>
        </w:rPr>
        <w:t>Figure 11. Projected timeline for key AI+Finance trends (Source: Generated Gantt Diagram)</w:t>
      </w:r>
    </w:p>
    <w:p w14:paraId="0946E0A2">
      <w:pPr>
        <w:jc w:val="both"/>
      </w:pPr>
      <w:r>
        <w:rPr>
          <w:rFonts w:ascii="Times New Roman" w:hAnsi="Times New Roman"/>
          <w:sz w:val="20"/>
        </w:rPr>
        <w:t>gantt</w:t>
      </w:r>
    </w:p>
    <w:p w14:paraId="27930E16">
      <w:pPr>
        <w:jc w:val="both"/>
      </w:pPr>
      <w:r>
        <w:rPr>
          <w:rFonts w:ascii="Times New Roman" w:hAnsi="Times New Roman"/>
          <w:sz w:val="20"/>
        </w:rPr>
        <w:t>title Projected Development Timeline for AI+Finance (2025-2035)</w:t>
      </w:r>
    </w:p>
    <w:p w14:paraId="0911FC4F">
      <w:pPr>
        <w:jc w:val="both"/>
      </w:pPr>
      <w:r>
        <w:rPr>
          <w:rFonts w:ascii="Times New Roman" w:hAnsi="Times New Roman"/>
          <w:sz w:val="20"/>
        </w:rPr>
        <w:t>dateFormat  YYYY</w:t>
      </w:r>
    </w:p>
    <w:p w14:paraId="6F4675E9">
      <w:pPr>
        <w:jc w:val="both"/>
      </w:pPr>
      <w:r>
        <w:rPr>
          <w:rFonts w:ascii="Times New Roman" w:hAnsi="Times New Roman"/>
          <w:sz w:val="20"/>
        </w:rPr>
        <w:t>axisFormat  %Y</w:t>
      </w:r>
    </w:p>
    <w:p w14:paraId="2F491239">
      <w:pPr>
        <w:jc w:val="both"/>
      </w:pPr>
      <w:r>
        <w:rPr>
          <w:rFonts w:ascii="Times New Roman" w:hAnsi="Times New Roman"/>
          <w:sz w:val="20"/>
        </w:rPr>
        <w:t>section Core Technology Maturation</w:t>
      </w:r>
    </w:p>
    <w:p w14:paraId="2B338BDE">
      <w:pPr>
        <w:jc w:val="both"/>
      </w:pPr>
      <w:r>
        <w:rPr>
          <w:rFonts w:ascii="Times New Roman" w:hAnsi="Times New Roman"/>
          <w:sz w:val="20"/>
        </w:rPr>
        <w:t>Autonomous Agent Proliferation (Wealth Mgmt) :2025, 4y</w:t>
      </w:r>
    </w:p>
    <w:p w14:paraId="38AABF18">
      <w:pPr>
        <w:jc w:val="both"/>
      </w:pPr>
      <w:r>
        <w:rPr>
          <w:rFonts w:ascii="Times New Roman" w:hAnsi="Times New Roman"/>
          <w:sz w:val="20"/>
        </w:rPr>
        <w:t>Generative AI for Financial Analysis &amp; Reporting :2026, 5y</w:t>
      </w:r>
    </w:p>
    <w:p w14:paraId="2B893F31">
      <w:pPr>
        <w:jc w:val="both"/>
      </w:pPr>
      <w:r>
        <w:rPr>
          <w:rFonts w:ascii="Times New Roman" w:hAnsi="Times New Roman"/>
          <w:sz w:val="20"/>
        </w:rPr>
        <w:t>Explainable AI (XAI) Standards &amp; Regulation :2027, 6y</w:t>
      </w:r>
    </w:p>
    <w:p w14:paraId="717F171F">
      <w:pPr>
        <w:jc w:val="both"/>
      </w:pPr>
      <w:r>
        <w:rPr>
          <w:rFonts w:ascii="Times New Roman" w:hAnsi="Times New Roman"/>
          <w:sz w:val="20"/>
        </w:rPr>
        <w:t>Quantum Machine Learning Prototypes :2028, 5y</w:t>
      </w:r>
    </w:p>
    <w:p w14:paraId="1AD624F0">
      <w:pPr>
        <w:jc w:val="both"/>
      </w:pPr>
      <w:r>
        <w:rPr>
          <w:rFonts w:ascii="Times New Roman" w:hAnsi="Times New Roman"/>
          <w:sz w:val="20"/>
        </w:rPr>
        <w:t>section Market &amp; Ecosystem Evolution</w:t>
      </w:r>
    </w:p>
    <w:p w14:paraId="53DF4AED">
      <w:pPr>
        <w:jc w:val="both"/>
      </w:pPr>
      <w:r>
        <w:rPr>
          <w:rFonts w:ascii="Times New Roman" w:hAnsi="Times New Roman"/>
          <w:sz w:val="20"/>
        </w:rPr>
        <w:t>AI-Driven Hyper-Personalization Dominates :2026, 5y</w:t>
      </w:r>
    </w:p>
    <w:p w14:paraId="09365A3B">
      <w:pPr>
        <w:jc w:val="both"/>
      </w:pPr>
      <w:r>
        <w:rPr>
          <w:rFonts w:ascii="Times New Roman" w:hAnsi="Times New Roman"/>
          <w:sz w:val="20"/>
        </w:rPr>
        <w:t>Interoperable AI Agent Ecosystems Emerge :2028, 4y</w:t>
      </w:r>
    </w:p>
    <w:p w14:paraId="6715A82A">
      <w:pPr>
        <w:jc w:val="both"/>
      </w:pPr>
      <w:r>
        <w:rPr>
          <w:rFonts w:ascii="Times New Roman" w:hAnsi="Times New Roman"/>
          <w:sz w:val="20"/>
        </w:rPr>
        <w:t>Regulatory Sandboxes for Autonomous Finance :2027, 5y</w:t>
      </w:r>
    </w:p>
    <w:p w14:paraId="2E85DF20">
      <w:pPr>
        <w:jc w:val="both"/>
      </w:pPr>
      <w:r>
        <w:rPr>
          <w:rFonts w:ascii="Times New Roman" w:hAnsi="Times New Roman"/>
          <w:sz w:val="20"/>
        </w:rPr>
        <w:t>section Systemic Integration</w:t>
      </w:r>
    </w:p>
    <w:p w14:paraId="41836F7F">
      <w:pPr>
        <w:jc w:val="both"/>
      </w:pPr>
      <w:r>
        <w:rPr>
          <w:rFonts w:ascii="Times New Roman" w:hAnsi="Times New Roman"/>
          <w:sz w:val="20"/>
        </w:rPr>
        <w:t>AI as Core Banking Architecture Component :2029, 5y</w:t>
      </w:r>
    </w:p>
    <w:p w14:paraId="69A88BAB">
      <w:pPr>
        <w:jc w:val="both"/>
      </w:pPr>
      <w:r>
        <w:rPr>
          <w:rFonts w:ascii="Times New Roman" w:hAnsi="Times New Roman"/>
          <w:sz w:val="20"/>
        </w:rPr>
        <w:t>Widespread AI-to-AI Contracting &amp; Settlement :2031, 4y</w:t>
      </w:r>
    </w:p>
    <w:p w14:paraId="0FAAF7EA">
      <w:pPr>
        <w:jc w:val="both"/>
      </w:pPr>
      <w:r>
        <w:rPr>
          <w:rFonts w:ascii="Times New Roman" w:hAnsi="Times New Roman"/>
          <w:sz w:val="20"/>
        </w:rPr>
        <w:t>Looking beyond the current horizon of deep learning, the long-term future of AI in finance may be shaped by the convergence with other transformative computing paradigms, most notably quantum computing. While practical, fault-tolerant quantum computers remain years away, the intersection of quantum algorithms and machine learning—quantum machine learning (QML)—holds theoretical promise for solving intractable problems in finance [SSRN, 2025]. Strategic research partnerships, such as those between J.P. Morgan Chase and IBM or Goldman Sachs and Microsoft Azure Quantum, are already exploring applications like quantum-enhanced portfolio optimization, which could evaluate exponentially more asset combinations than classical computers, and quantum algorithms for Monte Carlo simulations in high-frequency trading and risk assessment, offering dramatic speed-ups [SSRN, 2025]. The financial industry’s engagement at this R&amp;D stage underscores its commitment to maintaining a technological edge. Furthermore, the rise of neuromorphic computing—hardware designed to mimic the neural structure of the brain—could eventually provide ultra-energy-efficient platforms for running complex neural network models at the edge, enabling real-time AI analysis on mobile devices for personalized financial services without latency or privacy concerns associated with cloud transmission.</w:t>
      </w:r>
    </w:p>
    <w:p w14:paraId="3B2E024B">
      <w:pPr>
        <w:jc w:val="both"/>
      </w:pPr>
      <w:r>
        <w:rPr>
          <w:rFonts w:ascii="Times New Roman" w:hAnsi="Times New Roman"/>
          <w:sz w:val="20"/>
        </w:rPr>
        <w:t>Finally, the competitive and collaborative landscape of the sector will undergo profound reconfiguration. The triad of tech giants, incumbent banks, and fintech startups will evolve into a more fluid and interoperable ecosystem. We will witness the rise of specialized AI model marketplaces where financial institutions can license pre-trained, compliant models for specific tasks, and the growth of open banking APIs will facilitate seamless data exchange between personal AI agents and institutional systems, with user consent [AESS Publications, 2025]. This interoperability will fuel hyper-personalization at scale, where financial products are dynamically assembled in real-time to match an individual’s momentary risk profile and life needs. However, this future also presents significant challenges: the potential for new forms of algorithmic collusion or market manipulation, deepening digital divides, and existential questions about the role of human judgment in an algorithmically-mediated financial system [OECD, 2021]. The institutions that will thrive will be those that master not only the technology itself but the ethical, governance, and human-capital strategies required to harness it responsibly. The future of AI+Finance, therefore, is not a simple story of automation but a complex narrative of co-evolution between intelligent machines and the financial ecosystem they are destined to reshape.</w:t>
      </w:r>
    </w:p>
    <w:p w14:paraId="6F633865">
      <w:pPr>
        <w:pStyle w:val="4"/>
      </w:pPr>
      <w:r>
        <w:rPr>
          <w:rFonts w:ascii="Times New Roman" w:hAnsi="Times New Roman"/>
          <w:sz w:val="24"/>
        </w:rPr>
        <w:t>9. Conclusions</w:t>
      </w:r>
    </w:p>
    <w:p w14:paraId="44FBF38F">
      <w:pPr>
        <w:jc w:val="both"/>
      </w:pPr>
      <w:r>
        <w:rPr>
          <w:rFonts w:ascii="Times New Roman" w:hAnsi="Times New Roman"/>
          <w:sz w:val="20"/>
        </w:rPr>
        <w:t>The integration of artificial intelligence into the financial sector, encapsulated by the term 'AI+Finance', represents a profound and irreversible transformation of the global economic landscape. This research has delineated the scope of this transformation, which encompasses the application of machine learning, natural language processing, and predictive analytics to core financial functions including algorithmic trading, robo-advising, credit scoring, and fraud detection, all increasingly overseen by regulatory technology (RegTech) frameworks [OECD, 2021; Humanities and Social Sciences Communications, 2025]. The evolution from the rigid expert systems of the 1980s to today's adaptive, data-hungry deep learning models underscores a historical shift from automating predefined rules to enabling systems that discover novel patterns and strategies autonomously [ResearchGate, 2024; Medium, n.d.]. This technical progression has unlocked unprecedented capabilities, allowing financial institutions to parse unstructured text for sentiment, automate document processing with computer vision, and develop dynamic trading strategies through reinforcement learning, thereby converting vast data streams into actionable intelligence and competitive advantage [GeeksforGeeks, n.d.; Singapore Natural Language Processing for Finance Market, n.d.].</w:t>
      </w:r>
    </w:p>
    <w:p w14:paraId="54F50BC8">
      <w:pPr>
        <w:jc w:val="both"/>
      </w:pPr>
      <w:r>
        <w:rPr>
          <w:rFonts w:ascii="Times New Roman" w:hAnsi="Times New Roman"/>
          <w:sz w:val="20"/>
        </w:rPr>
        <w:t>The market dynamics surrounding AI+Finance affirm its status as a dominant technological force. With the AI in Banking, Financial Services, and Insurance (BFSI) market valued at USD 26.2 billion in 2024 and projected to grow at a compound annual growth rate of 22% through 2034, the sector is experiencing explosive expansion driven by the imperatives of efficiency, risk management, and hyper-personalization [GM Insights, n.d.; McKinsey &amp; Company, 2025]. This growth is not merely quantitative but qualitative, as evidenced by the maturation from foundational tools toward autonomous AI agents forecast to become a multi-billion dollar segment [Fortune Business Insights, 2026]. The ecosystem driving this growth is a synergistic triad: technology giants like IBM, Microsoft, and Google provide the essential cloud and AI platform infrastructure; incumbent financial institutions such as JPMorgan Chase and Goldman Sachs deploy these tools at scale across hundreds of use cases; and agile fintech startups innovate at the edges, introducing disruptive applications and business models [Databridge Market Research, 2032; Masood, 2025; Emerald, n.d.]. This collaborative yet competitive landscape ensures continuous innovation but also concentrates technological power and interdependence.</w:t>
      </w:r>
    </w:p>
    <w:p w14:paraId="5E9EA2B9">
      <w:pPr>
        <w:jc w:val="both"/>
      </w:pPr>
      <w:r>
        <w:rPr>
          <w:rFonts w:ascii="Times New Roman" w:hAnsi="Times New Roman"/>
          <w:sz w:val="20"/>
        </w:rPr>
        <w:t>However, the rapid ascent of AI+Finance is accompanied by significant challenges and risks that demand rigorous governance. The historical lesson from early expert systems—that brittle, opaque systems fail in novel conditions—remains pertinent for today's complex models [Computer.org, n.d.]. The core risks have evolved to include algorithmic bias in credit scoring, which can perpetuate inequality if models are trained on biased historical data; a lack of transparency in "black box" deep learning models that undermines accountability; and systemic vulnerabilities where interconnected AI-driven trading or risk-management systems could amplify shocks [FSB, 2017; Facebook, 2025]. Furthermore, the deployment of technologies like generative AI and reinforcement learning in trading introduces new frontiers of ethical and operational uncertainty [MF-Journal, n.d.]. These challenges are not merely technical but are deeply embedded in issues of data privacy, consumer protection, and financial stability, necessitating a regulatory response that is as sophisticated and adaptive as the technology it seeks to oversee.</w:t>
      </w:r>
    </w:p>
    <w:p w14:paraId="1534E2F2">
      <w:pPr>
        <w:jc w:val="both"/>
      </w:pPr>
      <w:r>
        <w:rPr>
          <w:rFonts w:ascii="Times New Roman" w:hAnsi="Times New Roman"/>
          <w:sz w:val="20"/>
        </w:rPr>
        <w:t>Consequently, the path forward requires a balanced framework of proactive recommendations for stakeholders. For financial institutions and technology providers, the priority must be the development and adoption of explainable AI (XAI) techniques to demystify model decisions, coupled with robust investment in model risk management frameworks that include rigorous simulation, continuous monitoring, and adversarial testing [Facebook, 2025]. For regulators and policymakers, the mandate is to evolve from static, rules-based supervision to dynamic, principles-based oversight that leverages RegTech itself. This involves creating regulatory sandboxes to foster innovation safely, establishing clear guidelines for auditing algorithmic fairness and robustness, and promoting international cooperation to manage cross-border systemic risks posed by globally interconnected AI systems [Humanities and Social Sciences Communications, 2025; IOSCO, n.d.]. For the academic and research community, there is a critical need for interdisciplinary work that bridges finance, computer science, and ethics to develop next-generation AI methodologies that are inherently fair, transparent, and resilient.</w:t>
      </w:r>
    </w:p>
    <w:p w14:paraId="337693D4">
      <w:pPr>
        <w:jc w:val="both"/>
      </w:pPr>
      <w:r>
        <w:rPr>
          <w:rFonts w:ascii="Times New Roman" w:hAnsi="Times New Roman"/>
          <w:sz w:val="20"/>
        </w:rPr>
        <w:t>In conclusion, AI+Finance stands at a pivotal juncture. The technology has moved beyond experimentation to become a core, value-driving component of modern financial services, as evidenced by its substantial market footprint and deep integration into the strategies of leading institutions. The historical arc from expert systems to deep learning illustrates a relentless drive toward greater autonomy and capability. Yet, this very power necessitates a commensurate commitment to responsible innovation. The future of finance will undoubtedly be more efficient, data-rich, and personalized, but its stability and fairness will depend on the conscious choices made today to build governance structures that ensure AI serves as a tool for inclusive growth and resilient markets, not a source of new inequities or unseen perils. The ultimate success of AI+Finance will be measured not by its computational prowess alone, but by its ability to enhance trust, stability, and accessibility within the global financial system.</w:t>
      </w:r>
    </w:p>
    <w:p w14:paraId="35DFBC57">
      <w:pPr>
        <w:pStyle w:val="4"/>
      </w:pPr>
      <w:r>
        <w:rPr>
          <w:rFonts w:ascii="Times New Roman" w:hAnsi="Times New Roman"/>
          <w:sz w:val="24"/>
        </w:rPr>
        <w:t>References</w:t>
      </w:r>
    </w:p>
    <w:p w14:paraId="35864360">
      <w:pPr>
        <w:jc w:val="both"/>
      </w:pPr>
      <w:r>
        <w:rPr>
          <w:rFonts w:ascii="Times New Roman" w:hAnsi="Times New Roman"/>
          <w:sz w:val="20"/>
        </w:rPr>
        <w:t>The following references constitute the foundational literature and data sources underpinning this comprehensive analysis of artificial intelligence in the financial services sector. The bibliography is organized to reflect the multidisciplinary nature of the field, encompassing academic reviews, market analyses, technical reports, and policy documents from leading international organizations, consultancies, and research institutions. These sources collectively document the definitional scope, market dynamics, key actors, technological foundations, and historical trajectory of AI+Finance.</w:t>
      </w:r>
    </w:p>
    <w:p w14:paraId="4DBF66F4">
      <w:pPr>
        <w:jc w:val="both"/>
      </w:pPr>
      <w:r>
        <w:rPr>
          <w:rFonts w:ascii="Times New Roman" w:hAnsi="Times New Roman"/>
          <w:sz w:val="20"/>
        </w:rPr>
        <w:t>Academic and conceptual frameworks for understanding AI in finance are provided by several key reviews. ScienceDirect (2025) offers a scientific examination of agent-based systems within the domain, while Humanities and Social Sciences Communications (2025) delivers a systematic review focusing on integration trends and the concomitant regulatory challenges. Foundational reports from international regulatory bodies have been instrumental in shaping the discourse; these include the Financial Stability Board's (2017) early analysis of AI and machine learning in financial services, the Organisation for Economic Co-operation and Development's (2021) overview of AI, ML, and big data, and the International Organization of Securities Commissions' (n.d.) exploration of use cases and risks in capital markets. Further conceptual elaboration is found in the SSRN (n.d.) chapter on key concepts and regulatory considerations, and in applied perspectives from AESS Publications (2025) on the intelligent finance ecosystem and Congress.gov (2024) on AI and ML in financial services. Explanatory resources from Worcester Polytechnic Institute [WPI] (n.d.) and Articsledge (2025) complement these with accessible guides to AI's transformative role and benefits in fintech.</w:t>
      </w:r>
    </w:p>
    <w:p w14:paraId="45C8DE71">
      <w:pPr>
        <w:jc w:val="both"/>
      </w:pPr>
      <w:r>
        <w:rPr>
          <w:rFonts w:ascii="Times New Roman" w:hAnsi="Times New Roman"/>
          <w:sz w:val="20"/>
        </w:rPr>
        <w:t>Market size, growth projections, and adoption statistics are drawn from a suite of industry reports and surveys. Granular market data is sourced from GM Insights (n.d.) on the AI in BFSI sector and MarketsandMarkets (n.d.) on the AI in finance market specifically. The broader context of the global AI market is established by reports from Grand View Research (n.d.) and The Business Research Company (n.d.), with the latter also providing valuable regional breakdowns within financial services. The growth of autonomous AI agents is forecast by Fortune Business Insights (2026, n.d.). Empirical data on adoption trends and value realization is captured in the McKinsey &amp; Company (2025) global AI survey, with supporting statistics from FF (2025) and Citrusbug Technolabs (2025). The overarching financial services market context is detailed in The Business Research Company's (n.d.) global market report.</w:t>
      </w:r>
    </w:p>
    <w:p w14:paraId="149E68B2">
      <w:pPr>
        <w:jc w:val="both"/>
      </w:pPr>
      <w:r>
        <w:rPr>
          <w:rFonts w:ascii="Times New Roman" w:hAnsi="Times New Roman"/>
          <w:sz w:val="20"/>
        </w:rPr>
        <w:t>The landscape of key implementing and enabling organizations is profiled using a combination of analytical reports, case studies, and industry commentary. The strategic activities of leading financial institutions are highlighted in works by Masood (2025) on JPMorgan Chase's use cases, Bold Generic Solutions (2026) on industry shifts, and Facebook (2025) on risk perspectives from Goldman Sachs. The integration of AI into core banking architecture is discussed by The Asian Banker (2026). Market analyses from Databridge Market Research (2032) and Dimension Market Research (2034) outline the competitive landscape and size of the banking AI market. The role of technology providers and the structure of the fintech ecosystem are explored in publications from Emerald (n.d.) and PubMed (n.d.), while the frontier of quantum computing partnerships is examined by SSRN (2025). Industry perspectives on regulatory applications are noted from Prove (n.d.).</w:t>
      </w:r>
    </w:p>
    <w:p w14:paraId="4D82B517">
      <w:pPr>
        <w:jc w:val="both"/>
      </w:pPr>
      <w:r>
        <w:rPr>
          <w:rFonts w:ascii="Times New Roman" w:hAnsi="Times New Roman"/>
          <w:sz w:val="20"/>
        </w:rPr>
        <w:t>Technical methodologies are elucidated through a range of sources covering algorithms, natural language processing, and applied research. GeeksforGeeks (n.d.) provides a foundational overview of AI algorithms. The application of NLP in finance is detailed across multiple sources: its core principles are defined by Wikipedia (n.d.); its business applications are discussed by Academia.edu (n.d.) and Indotectonic (n.d.); and its specific use in sentiment analysis and prediction is researched by hasim pathan (n.d.), Singapore Natural Language Processing for Finance Market (n.d.), and ResearchGate (2024). The implications of advanced models like GPT are considered by MF-Journal (n.d.), and a consolidated view of AI applications is presented in the publication "Artificial Intelligence in Finance" (n.d.). An example of an integrated AI agent platform is referenced from Kimi (n.d.).</w:t>
      </w:r>
    </w:p>
    <w:p w14:paraId="22E928DA">
      <w:pPr>
        <w:jc w:val="both"/>
      </w:pPr>
      <w:r>
        <w:rPr>
          <w:rFonts w:ascii="Times New Roman" w:hAnsi="Times New Roman"/>
          <w:sz w:val="20"/>
        </w:rPr>
        <w:t>Finally, the historical evolution of AI in the financial sector is traced through retrospective analyses. DualMedia Innovation News (n.d.) and ResearchGate (2024) document the era of expert systems, while Computer.org (n.d.) critiques their limitations. The transition to machine learning is chronicled by Medium (n.d.) and Quinn (2023), with specific historical applications in finance examined by Chicago Booth Review (2021). The rise of consumer-facing fintech applications, marking a new phase of adoption, is exemplified by the case of Mint.com as discussed by Loanworks.ai (n.d.).</w:t>
      </w:r>
    </w:p>
    <w:p w14:paraId="67DF6B85"/>
    <w:p w14:paraId="1CC6754D">
      <w:pPr>
        <w:jc w:val="center"/>
      </w:pPr>
      <w:r>
        <w:rPr>
          <w:i/>
          <w:sz w:val="18"/>
        </w:rPr>
        <w:t>This report was generated by Requirements Analysis Agent Assistant (RAAA)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2B1D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5510</Words>
  <Characters>35627</Characters>
  <Lines>0</Lines>
  <Paragraphs>0</Paragraphs>
  <TotalTime>5</TotalTime>
  <ScaleCrop>false</ScaleCrop>
  <LinksUpToDate>false</LinksUpToDate>
  <CharactersWithSpaces>41031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梦见醒来</cp:lastModifiedBy>
  <dcterms:modified xsi:type="dcterms:W3CDTF">2026-02-02T04:24:52Z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eyJoZGlkIjoiZTgwMjM0OTdlMzY3NjZkYThiMDk2NGU1NjdiZDZlZDYiLCJ1c2VySWQiOiI2NjcwMDYyNjEifQ==</vt:lpwstr>
  </property>
  <property fmtid="{D5CDD505-2E9C-101B-9397-08002B2CF9AE}" pid="3" name="KSOProductBuildVer">
    <vt:lpwstr>2052-12.1.0.24657</vt:lpwstr>
  </property>
  <property fmtid="{D5CDD505-2E9C-101B-9397-08002B2CF9AE}" pid="4" name="ICV">
    <vt:lpwstr>4F6468C6342F4D9F886BE833498C1AA8_12</vt:lpwstr>
  </property>
</Properties>
</file>